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FD" w:rsidRPr="00015FE4" w:rsidRDefault="004A19C5" w:rsidP="003F4317">
      <w:pPr>
        <w:pStyle w:val="Heading1"/>
        <w:pBdr>
          <w:top w:val="none" w:sz="0" w:space="0" w:color="auto"/>
          <w:left w:val="none" w:sz="0" w:space="0" w:color="auto"/>
          <w:bottom w:val="none" w:sz="0" w:space="0" w:color="auto"/>
          <w:right w:val="none" w:sz="0" w:space="0" w:color="auto"/>
        </w:pBdr>
        <w:shd w:val="clear" w:color="auto" w:fill="9B0059"/>
        <w:tabs>
          <w:tab w:val="center" w:pos="4680"/>
          <w:tab w:val="right" w:pos="9360"/>
        </w:tabs>
      </w:pPr>
      <w:bookmarkStart w:id="0" w:name="_GoBack"/>
      <w:bookmarkEnd w:id="0"/>
      <w:r>
        <w:t>Modified Total Direct Cost (MTDC) Certification</w:t>
      </w:r>
    </w:p>
    <w:p w:rsidR="002F1DD2" w:rsidRDefault="002F1DD2" w:rsidP="00033CFD">
      <w:pPr>
        <w:rPr>
          <w:sz w:val="22"/>
          <w:szCs w:val="22"/>
        </w:rPr>
      </w:pPr>
    </w:p>
    <w:p w:rsidR="003F4317" w:rsidRDefault="003F4317" w:rsidP="003F4317">
      <w:pPr>
        <w:contextualSpacing/>
        <w:rPr>
          <w:sz w:val="22"/>
          <w:szCs w:val="22"/>
        </w:rPr>
      </w:pPr>
      <w:r w:rsidRPr="003F4317">
        <w:rPr>
          <w:sz w:val="22"/>
          <w:szCs w:val="22"/>
        </w:rPr>
        <w:t xml:space="preserve">Any non-Federal entity that does not have a current negotiated (including provisional) </w:t>
      </w:r>
      <w:r w:rsidR="00680AD3">
        <w:rPr>
          <w:sz w:val="22"/>
          <w:szCs w:val="22"/>
        </w:rPr>
        <w:t xml:space="preserve">federal indirect </w:t>
      </w:r>
      <w:r w:rsidRPr="003F4317">
        <w:rPr>
          <w:sz w:val="22"/>
          <w:szCs w:val="22"/>
        </w:rPr>
        <w:t xml:space="preserve">rate may elect to charge a de </w:t>
      </w:r>
      <w:proofErr w:type="spellStart"/>
      <w:r w:rsidRPr="003F4317">
        <w:rPr>
          <w:sz w:val="22"/>
          <w:szCs w:val="22"/>
        </w:rPr>
        <w:t>minimis</w:t>
      </w:r>
      <w:proofErr w:type="spellEnd"/>
      <w:r w:rsidRPr="003F4317">
        <w:rPr>
          <w:sz w:val="22"/>
          <w:szCs w:val="22"/>
        </w:rPr>
        <w:t xml:space="preserve"> rate of up to 10% of its modified total direct costs</w:t>
      </w:r>
      <w:r>
        <w:rPr>
          <w:rStyle w:val="FootnoteReference"/>
          <w:sz w:val="22"/>
          <w:szCs w:val="22"/>
        </w:rPr>
        <w:footnoteReference w:id="1"/>
      </w:r>
      <w:r w:rsidRPr="003F4317">
        <w:rPr>
          <w:sz w:val="22"/>
          <w:szCs w:val="22"/>
        </w:rPr>
        <w:t xml:space="preserve"> (MTDC) which may be used indefinitely. If chosen, this methodology must be used consistently for all Federal awards. Costs must be consistently charged as either direct or indirect costs.</w:t>
      </w:r>
      <w:r w:rsidR="002F320D">
        <w:rPr>
          <w:sz w:val="22"/>
          <w:szCs w:val="22"/>
        </w:rPr>
        <w:t xml:space="preserve"> </w:t>
      </w:r>
    </w:p>
    <w:p w:rsidR="003F4317" w:rsidRDefault="003F4317" w:rsidP="003F4317">
      <w:pPr>
        <w:contextualSpacing/>
        <w:rPr>
          <w:sz w:val="22"/>
          <w:szCs w:val="22"/>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5041"/>
        <w:gridCol w:w="2154"/>
      </w:tblGrid>
      <w:tr w:rsidR="003F4317" w:rsidTr="004A19C5">
        <w:tc>
          <w:tcPr>
            <w:tcW w:w="2872" w:type="dxa"/>
            <w:shd w:val="clear" w:color="auto" w:fill="FFF2CC" w:themeFill="accent4" w:themeFillTint="33"/>
          </w:tcPr>
          <w:p w:rsidR="003F4317" w:rsidRDefault="003F4317" w:rsidP="003F4317">
            <w:pPr>
              <w:contextualSpacing/>
              <w:rPr>
                <w:sz w:val="22"/>
                <w:szCs w:val="22"/>
              </w:rPr>
            </w:pP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Pr>
                <w:sz w:val="22"/>
                <w:szCs w:val="22"/>
              </w:rPr>
              <w:t xml:space="preserve"> </w:t>
            </w:r>
          </w:p>
        </w:tc>
        <w:tc>
          <w:tcPr>
            <w:tcW w:w="5043" w:type="dxa"/>
          </w:tcPr>
          <w:p w:rsidR="003F4317" w:rsidRDefault="003F4317" w:rsidP="003F4317">
            <w:pPr>
              <w:contextualSpacing/>
              <w:rPr>
                <w:sz w:val="22"/>
                <w:szCs w:val="22"/>
              </w:rPr>
            </w:pPr>
            <w:r>
              <w:rPr>
                <w:sz w:val="22"/>
                <w:szCs w:val="22"/>
              </w:rPr>
              <w:t>i</w:t>
            </w:r>
            <w:r w:rsidRPr="003F4317">
              <w:rPr>
                <w:sz w:val="22"/>
                <w:szCs w:val="22"/>
              </w:rPr>
              <w:t xml:space="preserve">s electing to use the de </w:t>
            </w:r>
            <w:proofErr w:type="spellStart"/>
            <w:r w:rsidRPr="003F4317">
              <w:rPr>
                <w:sz w:val="22"/>
                <w:szCs w:val="22"/>
              </w:rPr>
              <w:t>minimis</w:t>
            </w:r>
            <w:proofErr w:type="spellEnd"/>
            <w:r w:rsidRPr="003F4317">
              <w:rPr>
                <w:sz w:val="22"/>
                <w:szCs w:val="22"/>
              </w:rPr>
              <w:t xml:space="preserve"> indirect rate of </w:t>
            </w:r>
          </w:p>
        </w:tc>
        <w:tc>
          <w:tcPr>
            <w:tcW w:w="2155" w:type="dxa"/>
          </w:tcPr>
          <w:p w:rsidR="003F4317" w:rsidRDefault="003F4317" w:rsidP="003F4317">
            <w:pPr>
              <w:contextualSpacing/>
              <w:rPr>
                <w:sz w:val="22"/>
                <w:szCs w:val="22"/>
              </w:rPr>
            </w:pPr>
            <w:r w:rsidRPr="003F4317">
              <w:rPr>
                <w:sz w:val="22"/>
                <w:szCs w:val="22"/>
                <w:shd w:val="clear" w:color="auto" w:fill="FFF2CC" w:themeFill="accent4" w:themeFillTint="33"/>
              </w:rPr>
              <w:fldChar w:fldCharType="begin">
                <w:ffData>
                  <w:name w:val="Text2"/>
                  <w:enabled/>
                  <w:calcOnExit w:val="0"/>
                  <w:textInput/>
                </w:ffData>
              </w:fldChar>
            </w:r>
            <w:bookmarkStart w:id="2" w:name="Text2"/>
            <w:r w:rsidRPr="003F4317">
              <w:rPr>
                <w:sz w:val="22"/>
                <w:szCs w:val="22"/>
                <w:shd w:val="clear" w:color="auto" w:fill="FFF2CC" w:themeFill="accent4" w:themeFillTint="33"/>
              </w:rPr>
              <w:instrText xml:space="preserve"> FORMTEXT </w:instrText>
            </w:r>
            <w:r w:rsidRPr="003F4317">
              <w:rPr>
                <w:sz w:val="22"/>
                <w:szCs w:val="22"/>
                <w:shd w:val="clear" w:color="auto" w:fill="FFF2CC" w:themeFill="accent4" w:themeFillTint="33"/>
              </w:rPr>
            </w:r>
            <w:r w:rsidRPr="003F4317">
              <w:rPr>
                <w:sz w:val="22"/>
                <w:szCs w:val="22"/>
                <w:shd w:val="clear" w:color="auto" w:fill="FFF2CC" w:themeFill="accent4" w:themeFillTint="33"/>
              </w:rPr>
              <w:fldChar w:fldCharType="separate"/>
            </w:r>
            <w:r w:rsidRPr="003F4317">
              <w:rPr>
                <w:noProof/>
                <w:sz w:val="22"/>
                <w:szCs w:val="22"/>
                <w:shd w:val="clear" w:color="auto" w:fill="FFF2CC" w:themeFill="accent4" w:themeFillTint="33"/>
              </w:rPr>
              <w:t> </w:t>
            </w:r>
            <w:r w:rsidRPr="003F4317">
              <w:rPr>
                <w:noProof/>
                <w:sz w:val="22"/>
                <w:szCs w:val="22"/>
                <w:shd w:val="clear" w:color="auto" w:fill="FFF2CC" w:themeFill="accent4" w:themeFillTint="33"/>
              </w:rPr>
              <w:t> </w:t>
            </w:r>
            <w:r w:rsidRPr="003F4317">
              <w:rPr>
                <w:noProof/>
                <w:sz w:val="22"/>
                <w:szCs w:val="22"/>
                <w:shd w:val="clear" w:color="auto" w:fill="FFF2CC" w:themeFill="accent4" w:themeFillTint="33"/>
              </w:rPr>
              <w:t> </w:t>
            </w:r>
            <w:r w:rsidRPr="003F4317">
              <w:rPr>
                <w:noProof/>
                <w:sz w:val="22"/>
                <w:szCs w:val="22"/>
                <w:shd w:val="clear" w:color="auto" w:fill="FFF2CC" w:themeFill="accent4" w:themeFillTint="33"/>
              </w:rPr>
              <w:t> </w:t>
            </w:r>
            <w:r w:rsidRPr="003F4317">
              <w:rPr>
                <w:noProof/>
                <w:sz w:val="22"/>
                <w:szCs w:val="22"/>
                <w:shd w:val="clear" w:color="auto" w:fill="FFF2CC" w:themeFill="accent4" w:themeFillTint="33"/>
              </w:rPr>
              <w:t> </w:t>
            </w:r>
            <w:r w:rsidRPr="003F4317">
              <w:rPr>
                <w:sz w:val="22"/>
                <w:szCs w:val="22"/>
                <w:shd w:val="clear" w:color="auto" w:fill="FFF2CC" w:themeFill="accent4" w:themeFillTint="33"/>
              </w:rPr>
              <w:fldChar w:fldCharType="end"/>
            </w:r>
            <w:bookmarkEnd w:id="2"/>
            <w:r w:rsidRPr="003F4317">
              <w:rPr>
                <w:sz w:val="22"/>
                <w:szCs w:val="22"/>
                <w:shd w:val="clear" w:color="auto" w:fill="FFF2CC" w:themeFill="accent4" w:themeFillTint="33"/>
              </w:rPr>
              <w:t xml:space="preserve"> % of MTDC</w:t>
            </w:r>
            <w:r w:rsidRPr="003F4317">
              <w:rPr>
                <w:sz w:val="22"/>
                <w:szCs w:val="22"/>
              </w:rPr>
              <w:t>.</w:t>
            </w:r>
          </w:p>
        </w:tc>
      </w:tr>
      <w:tr w:rsidR="003F4317" w:rsidTr="004A19C5">
        <w:tc>
          <w:tcPr>
            <w:tcW w:w="2875" w:type="dxa"/>
          </w:tcPr>
          <w:p w:rsidR="003F4317" w:rsidRPr="003F4317" w:rsidRDefault="003F4317" w:rsidP="003F4317">
            <w:pPr>
              <w:contextualSpacing/>
              <w:rPr>
                <w:i/>
                <w:sz w:val="22"/>
                <w:szCs w:val="22"/>
              </w:rPr>
            </w:pPr>
            <w:r w:rsidRPr="003F4317">
              <w:rPr>
                <w:i/>
                <w:sz w:val="22"/>
                <w:szCs w:val="22"/>
              </w:rPr>
              <w:t>(enter agency name)</w:t>
            </w:r>
          </w:p>
        </w:tc>
        <w:tc>
          <w:tcPr>
            <w:tcW w:w="5040" w:type="dxa"/>
          </w:tcPr>
          <w:p w:rsidR="003F4317" w:rsidRDefault="003F4317" w:rsidP="003F4317">
            <w:pPr>
              <w:contextualSpacing/>
              <w:rPr>
                <w:sz w:val="22"/>
                <w:szCs w:val="22"/>
              </w:rPr>
            </w:pPr>
          </w:p>
        </w:tc>
        <w:tc>
          <w:tcPr>
            <w:tcW w:w="2155" w:type="dxa"/>
          </w:tcPr>
          <w:p w:rsidR="003F4317" w:rsidRPr="004A19C5" w:rsidRDefault="003F4317" w:rsidP="003F4317">
            <w:pPr>
              <w:contextualSpacing/>
              <w:rPr>
                <w:i/>
                <w:sz w:val="22"/>
                <w:szCs w:val="22"/>
              </w:rPr>
            </w:pPr>
            <w:r w:rsidRPr="003F4317">
              <w:rPr>
                <w:i/>
                <w:sz w:val="22"/>
                <w:szCs w:val="22"/>
              </w:rPr>
              <w:t>(</w:t>
            </w:r>
            <w:r>
              <w:rPr>
                <w:i/>
                <w:sz w:val="22"/>
                <w:szCs w:val="22"/>
              </w:rPr>
              <w:t xml:space="preserve">enter </w:t>
            </w:r>
            <w:r w:rsidRPr="003F4317">
              <w:rPr>
                <w:i/>
                <w:sz w:val="22"/>
                <w:szCs w:val="22"/>
              </w:rPr>
              <w:t>percentage)</w:t>
            </w:r>
          </w:p>
        </w:tc>
      </w:tr>
    </w:tbl>
    <w:p w:rsidR="003F4317" w:rsidRPr="003F4317" w:rsidRDefault="003F4317" w:rsidP="003F4317">
      <w:pPr>
        <w:contextualSpacing/>
        <w:rPr>
          <w:sz w:val="22"/>
          <w:szCs w:val="22"/>
        </w:rPr>
      </w:pPr>
    </w:p>
    <w:tbl>
      <w:tblPr>
        <w:tblStyle w:val="TableGrid"/>
        <w:tblW w:w="4281" w:type="pct"/>
        <w:jc w:val="center"/>
        <w:tblLook w:val="04A0" w:firstRow="1" w:lastRow="0" w:firstColumn="1" w:lastColumn="0" w:noHBand="0" w:noVBand="1"/>
      </w:tblPr>
      <w:tblGrid>
        <w:gridCol w:w="7072"/>
        <w:gridCol w:w="1550"/>
      </w:tblGrid>
      <w:tr w:rsidR="003F4317" w:rsidRPr="004A19C5" w:rsidTr="007C38AD">
        <w:trPr>
          <w:trHeight w:val="432"/>
          <w:jc w:val="center"/>
        </w:trPr>
        <w:tc>
          <w:tcPr>
            <w:tcW w:w="5000" w:type="pct"/>
            <w:gridSpan w:val="2"/>
            <w:vAlign w:val="center"/>
          </w:tcPr>
          <w:p w:rsidR="003F4317" w:rsidRPr="004A19C5" w:rsidRDefault="003F4317" w:rsidP="007C38AD">
            <w:pPr>
              <w:jc w:val="center"/>
              <w:rPr>
                <w:b/>
                <w:sz w:val="22"/>
              </w:rPr>
            </w:pPr>
            <w:r w:rsidRPr="004A19C5">
              <w:rPr>
                <w:b/>
                <w:sz w:val="22"/>
              </w:rPr>
              <w:t>Modified Total Direct Costs Worksheet</w:t>
            </w:r>
          </w:p>
        </w:tc>
      </w:tr>
      <w:tr w:rsidR="003F4317" w:rsidRPr="004A19C5" w:rsidTr="003F4317">
        <w:trPr>
          <w:trHeight w:val="562"/>
          <w:jc w:val="center"/>
        </w:trPr>
        <w:tc>
          <w:tcPr>
            <w:tcW w:w="4101" w:type="pct"/>
            <w:vAlign w:val="center"/>
          </w:tcPr>
          <w:p w:rsidR="003F4317" w:rsidRPr="004A19C5" w:rsidRDefault="003F4317" w:rsidP="007C38AD">
            <w:pPr>
              <w:rPr>
                <w:sz w:val="22"/>
              </w:rPr>
            </w:pPr>
            <w:r w:rsidRPr="004A19C5">
              <w:rPr>
                <w:sz w:val="22"/>
              </w:rPr>
              <w:t xml:space="preserve">Add: Salaries + Benefits + Subgrantees + Consultant Services + </w:t>
            </w:r>
            <w:r w:rsidRPr="004A19C5">
              <w:rPr>
                <w:sz w:val="22"/>
              </w:rPr>
              <w:br/>
              <w:t xml:space="preserve">         Goods &amp; Services</w:t>
            </w:r>
          </w:p>
        </w:tc>
        <w:tc>
          <w:tcPr>
            <w:tcW w:w="899" w:type="pct"/>
            <w:shd w:val="clear" w:color="auto" w:fill="FFF2CC" w:themeFill="accent4" w:themeFillTint="33"/>
            <w:vAlign w:val="center"/>
          </w:tcPr>
          <w:p w:rsidR="003F4317" w:rsidRPr="004A19C5" w:rsidRDefault="003F4317" w:rsidP="007C38AD">
            <w:pPr>
              <w:rPr>
                <w:sz w:val="22"/>
              </w:rPr>
            </w:pPr>
            <w:r w:rsidRPr="004A19C5">
              <w:rPr>
                <w:sz w:val="22"/>
              </w:rPr>
              <w:fldChar w:fldCharType="begin">
                <w:ffData>
                  <w:name w:val="Text3"/>
                  <w:enabled/>
                  <w:calcOnExit w:val="0"/>
                  <w:textInput/>
                </w:ffData>
              </w:fldChar>
            </w:r>
            <w:bookmarkStart w:id="3" w:name="Text3"/>
            <w:r w:rsidRPr="004A19C5">
              <w:rPr>
                <w:sz w:val="22"/>
              </w:rPr>
              <w:instrText xml:space="preserve"> FORMTEXT </w:instrText>
            </w:r>
            <w:r w:rsidRPr="004A19C5">
              <w:rPr>
                <w:sz w:val="22"/>
              </w:rPr>
            </w:r>
            <w:r w:rsidRPr="004A19C5">
              <w:rPr>
                <w:sz w:val="22"/>
              </w:rPr>
              <w:fldChar w:fldCharType="separate"/>
            </w:r>
            <w:r w:rsidRPr="004A19C5">
              <w:rPr>
                <w:noProof/>
                <w:sz w:val="22"/>
              </w:rPr>
              <w:t> </w:t>
            </w:r>
            <w:r w:rsidRPr="004A19C5">
              <w:rPr>
                <w:noProof/>
                <w:sz w:val="22"/>
              </w:rPr>
              <w:t> </w:t>
            </w:r>
            <w:r w:rsidRPr="004A19C5">
              <w:rPr>
                <w:noProof/>
                <w:sz w:val="22"/>
              </w:rPr>
              <w:t> </w:t>
            </w:r>
            <w:r w:rsidRPr="004A19C5">
              <w:rPr>
                <w:noProof/>
                <w:sz w:val="22"/>
              </w:rPr>
              <w:t> </w:t>
            </w:r>
            <w:r w:rsidRPr="004A19C5">
              <w:rPr>
                <w:noProof/>
                <w:sz w:val="22"/>
              </w:rPr>
              <w:t> </w:t>
            </w:r>
            <w:r w:rsidRPr="004A19C5">
              <w:rPr>
                <w:sz w:val="22"/>
              </w:rPr>
              <w:fldChar w:fldCharType="end"/>
            </w:r>
            <w:bookmarkEnd w:id="3"/>
          </w:p>
        </w:tc>
      </w:tr>
      <w:tr w:rsidR="003F4317" w:rsidRPr="004A19C5" w:rsidTr="003F4317">
        <w:trPr>
          <w:trHeight w:val="562"/>
          <w:jc w:val="center"/>
        </w:trPr>
        <w:tc>
          <w:tcPr>
            <w:tcW w:w="4101" w:type="pct"/>
            <w:vAlign w:val="center"/>
          </w:tcPr>
          <w:p w:rsidR="003F4317" w:rsidRPr="004A19C5" w:rsidRDefault="003F4317" w:rsidP="003F4317">
            <w:pPr>
              <w:pStyle w:val="ListParagraph"/>
              <w:numPr>
                <w:ilvl w:val="0"/>
                <w:numId w:val="5"/>
              </w:numPr>
              <w:spacing w:after="0" w:line="240" w:lineRule="auto"/>
              <w:rPr>
                <w:rFonts w:ascii="Arial" w:hAnsi="Arial" w:cs="Arial"/>
                <w:szCs w:val="20"/>
              </w:rPr>
            </w:pPr>
            <w:r w:rsidRPr="004A19C5">
              <w:rPr>
                <w:rFonts w:ascii="Arial" w:hAnsi="Arial" w:cs="Arial"/>
                <w:szCs w:val="20"/>
              </w:rPr>
              <w:t>Subtract the amount of any subgrantee or consultant services line items that are over $25,000</w:t>
            </w:r>
          </w:p>
        </w:tc>
        <w:tc>
          <w:tcPr>
            <w:tcW w:w="899" w:type="pct"/>
            <w:shd w:val="clear" w:color="auto" w:fill="FFF2CC" w:themeFill="accent4" w:themeFillTint="33"/>
            <w:vAlign w:val="center"/>
          </w:tcPr>
          <w:p w:rsidR="003F4317" w:rsidRPr="004A19C5" w:rsidRDefault="003F4317" w:rsidP="007C38AD">
            <w:pPr>
              <w:rPr>
                <w:sz w:val="22"/>
              </w:rPr>
            </w:pPr>
            <w:r w:rsidRPr="004A19C5">
              <w:rPr>
                <w:sz w:val="22"/>
              </w:rPr>
              <w:fldChar w:fldCharType="begin">
                <w:ffData>
                  <w:name w:val="Text4"/>
                  <w:enabled/>
                  <w:calcOnExit w:val="0"/>
                  <w:textInput/>
                </w:ffData>
              </w:fldChar>
            </w:r>
            <w:bookmarkStart w:id="4" w:name="Text4"/>
            <w:r w:rsidRPr="004A19C5">
              <w:rPr>
                <w:sz w:val="22"/>
              </w:rPr>
              <w:instrText xml:space="preserve"> FORMTEXT </w:instrText>
            </w:r>
            <w:r w:rsidRPr="004A19C5">
              <w:rPr>
                <w:sz w:val="22"/>
              </w:rPr>
            </w:r>
            <w:r w:rsidRPr="004A19C5">
              <w:rPr>
                <w:sz w:val="22"/>
              </w:rPr>
              <w:fldChar w:fldCharType="separate"/>
            </w:r>
            <w:r w:rsidRPr="004A19C5">
              <w:rPr>
                <w:noProof/>
                <w:sz w:val="22"/>
              </w:rPr>
              <w:t> </w:t>
            </w:r>
            <w:r w:rsidRPr="004A19C5">
              <w:rPr>
                <w:noProof/>
                <w:sz w:val="22"/>
              </w:rPr>
              <w:t> </w:t>
            </w:r>
            <w:r w:rsidRPr="004A19C5">
              <w:rPr>
                <w:noProof/>
                <w:sz w:val="22"/>
              </w:rPr>
              <w:t> </w:t>
            </w:r>
            <w:r w:rsidRPr="004A19C5">
              <w:rPr>
                <w:noProof/>
                <w:sz w:val="22"/>
              </w:rPr>
              <w:t> </w:t>
            </w:r>
            <w:r w:rsidRPr="004A19C5">
              <w:rPr>
                <w:noProof/>
                <w:sz w:val="22"/>
              </w:rPr>
              <w:t> </w:t>
            </w:r>
            <w:r w:rsidRPr="004A19C5">
              <w:rPr>
                <w:sz w:val="22"/>
              </w:rPr>
              <w:fldChar w:fldCharType="end"/>
            </w:r>
            <w:bookmarkEnd w:id="4"/>
          </w:p>
        </w:tc>
      </w:tr>
      <w:tr w:rsidR="003F4317" w:rsidRPr="004A19C5" w:rsidTr="003F4317">
        <w:trPr>
          <w:trHeight w:val="562"/>
          <w:jc w:val="center"/>
        </w:trPr>
        <w:tc>
          <w:tcPr>
            <w:tcW w:w="4101" w:type="pct"/>
            <w:vAlign w:val="center"/>
          </w:tcPr>
          <w:p w:rsidR="003F4317" w:rsidRPr="004A19C5" w:rsidRDefault="003F4317" w:rsidP="003F4317">
            <w:pPr>
              <w:pStyle w:val="ListParagraph"/>
              <w:numPr>
                <w:ilvl w:val="0"/>
                <w:numId w:val="5"/>
              </w:numPr>
              <w:spacing w:after="0" w:line="240" w:lineRule="auto"/>
              <w:rPr>
                <w:rFonts w:ascii="Arial" w:hAnsi="Arial" w:cs="Arial"/>
                <w:szCs w:val="20"/>
              </w:rPr>
            </w:pPr>
            <w:r w:rsidRPr="004A19C5">
              <w:rPr>
                <w:rFonts w:ascii="Arial" w:hAnsi="Arial" w:cs="Arial"/>
                <w:szCs w:val="20"/>
              </w:rPr>
              <w:t>Subtract rent costs</w:t>
            </w:r>
          </w:p>
        </w:tc>
        <w:tc>
          <w:tcPr>
            <w:tcW w:w="899" w:type="pct"/>
            <w:shd w:val="clear" w:color="auto" w:fill="FFF2CC" w:themeFill="accent4" w:themeFillTint="33"/>
            <w:vAlign w:val="center"/>
          </w:tcPr>
          <w:p w:rsidR="003F4317" w:rsidRPr="004A19C5" w:rsidRDefault="003F4317" w:rsidP="007C38AD">
            <w:pPr>
              <w:rPr>
                <w:sz w:val="22"/>
              </w:rPr>
            </w:pPr>
            <w:r w:rsidRPr="004A19C5">
              <w:rPr>
                <w:sz w:val="22"/>
              </w:rPr>
              <w:fldChar w:fldCharType="begin">
                <w:ffData>
                  <w:name w:val="Text5"/>
                  <w:enabled/>
                  <w:calcOnExit w:val="0"/>
                  <w:textInput/>
                </w:ffData>
              </w:fldChar>
            </w:r>
            <w:bookmarkStart w:id="5" w:name="Text5"/>
            <w:r w:rsidRPr="004A19C5">
              <w:rPr>
                <w:sz w:val="22"/>
              </w:rPr>
              <w:instrText xml:space="preserve"> FORMTEXT </w:instrText>
            </w:r>
            <w:r w:rsidRPr="004A19C5">
              <w:rPr>
                <w:sz w:val="22"/>
              </w:rPr>
            </w:r>
            <w:r w:rsidRPr="004A19C5">
              <w:rPr>
                <w:sz w:val="22"/>
              </w:rPr>
              <w:fldChar w:fldCharType="separate"/>
            </w:r>
            <w:r w:rsidRPr="004A19C5">
              <w:rPr>
                <w:noProof/>
                <w:sz w:val="22"/>
              </w:rPr>
              <w:t> </w:t>
            </w:r>
            <w:r w:rsidRPr="004A19C5">
              <w:rPr>
                <w:noProof/>
                <w:sz w:val="22"/>
              </w:rPr>
              <w:t> </w:t>
            </w:r>
            <w:r w:rsidRPr="004A19C5">
              <w:rPr>
                <w:noProof/>
                <w:sz w:val="22"/>
              </w:rPr>
              <w:t> </w:t>
            </w:r>
            <w:r w:rsidRPr="004A19C5">
              <w:rPr>
                <w:noProof/>
                <w:sz w:val="22"/>
              </w:rPr>
              <w:t> </w:t>
            </w:r>
            <w:r w:rsidRPr="004A19C5">
              <w:rPr>
                <w:noProof/>
                <w:sz w:val="22"/>
              </w:rPr>
              <w:t> </w:t>
            </w:r>
            <w:r w:rsidRPr="004A19C5">
              <w:rPr>
                <w:sz w:val="22"/>
              </w:rPr>
              <w:fldChar w:fldCharType="end"/>
            </w:r>
            <w:bookmarkEnd w:id="5"/>
          </w:p>
        </w:tc>
      </w:tr>
      <w:tr w:rsidR="003F4317" w:rsidRPr="004A19C5" w:rsidTr="003F4317">
        <w:trPr>
          <w:trHeight w:val="562"/>
          <w:jc w:val="center"/>
        </w:trPr>
        <w:tc>
          <w:tcPr>
            <w:tcW w:w="4101" w:type="pct"/>
            <w:vAlign w:val="center"/>
          </w:tcPr>
          <w:p w:rsidR="003F4317" w:rsidRPr="004A19C5" w:rsidRDefault="003F4317" w:rsidP="003F4317">
            <w:pPr>
              <w:pStyle w:val="ListParagraph"/>
              <w:numPr>
                <w:ilvl w:val="0"/>
                <w:numId w:val="5"/>
              </w:numPr>
              <w:spacing w:after="0" w:line="240" w:lineRule="auto"/>
              <w:rPr>
                <w:rFonts w:ascii="Arial" w:hAnsi="Arial" w:cs="Arial"/>
                <w:szCs w:val="20"/>
              </w:rPr>
            </w:pPr>
            <w:r w:rsidRPr="004A19C5">
              <w:rPr>
                <w:rFonts w:ascii="Arial" w:hAnsi="Arial" w:cs="Arial"/>
                <w:szCs w:val="20"/>
              </w:rPr>
              <w:t>Subtract equipment costs</w:t>
            </w:r>
            <w:r w:rsidRPr="004A19C5">
              <w:rPr>
                <w:rStyle w:val="FootnoteReference"/>
                <w:rFonts w:ascii="Arial" w:hAnsi="Arial" w:cs="Arial"/>
                <w:szCs w:val="20"/>
              </w:rPr>
              <w:footnoteReference w:id="2"/>
            </w:r>
          </w:p>
        </w:tc>
        <w:tc>
          <w:tcPr>
            <w:tcW w:w="899" w:type="pct"/>
            <w:shd w:val="clear" w:color="auto" w:fill="FFF2CC" w:themeFill="accent4" w:themeFillTint="33"/>
            <w:vAlign w:val="center"/>
          </w:tcPr>
          <w:p w:rsidR="003F4317" w:rsidRPr="004A19C5" w:rsidRDefault="003F4317" w:rsidP="007C38AD">
            <w:pPr>
              <w:rPr>
                <w:sz w:val="22"/>
              </w:rPr>
            </w:pPr>
            <w:r w:rsidRPr="004A19C5">
              <w:rPr>
                <w:sz w:val="22"/>
              </w:rPr>
              <w:fldChar w:fldCharType="begin">
                <w:ffData>
                  <w:name w:val="Text6"/>
                  <w:enabled/>
                  <w:calcOnExit w:val="0"/>
                  <w:textInput/>
                </w:ffData>
              </w:fldChar>
            </w:r>
            <w:bookmarkStart w:id="6" w:name="Text6"/>
            <w:r w:rsidRPr="004A19C5">
              <w:rPr>
                <w:sz w:val="22"/>
              </w:rPr>
              <w:instrText xml:space="preserve"> FORMTEXT </w:instrText>
            </w:r>
            <w:r w:rsidRPr="004A19C5">
              <w:rPr>
                <w:sz w:val="22"/>
              </w:rPr>
            </w:r>
            <w:r w:rsidRPr="004A19C5">
              <w:rPr>
                <w:sz w:val="22"/>
              </w:rPr>
              <w:fldChar w:fldCharType="separate"/>
            </w:r>
            <w:r w:rsidRPr="004A19C5">
              <w:rPr>
                <w:noProof/>
                <w:sz w:val="22"/>
              </w:rPr>
              <w:t> </w:t>
            </w:r>
            <w:r w:rsidRPr="004A19C5">
              <w:rPr>
                <w:noProof/>
                <w:sz w:val="22"/>
              </w:rPr>
              <w:t> </w:t>
            </w:r>
            <w:r w:rsidRPr="004A19C5">
              <w:rPr>
                <w:noProof/>
                <w:sz w:val="22"/>
              </w:rPr>
              <w:t> </w:t>
            </w:r>
            <w:r w:rsidRPr="004A19C5">
              <w:rPr>
                <w:noProof/>
                <w:sz w:val="22"/>
              </w:rPr>
              <w:t> </w:t>
            </w:r>
            <w:r w:rsidRPr="004A19C5">
              <w:rPr>
                <w:noProof/>
                <w:sz w:val="22"/>
              </w:rPr>
              <w:t> </w:t>
            </w:r>
            <w:r w:rsidRPr="004A19C5">
              <w:rPr>
                <w:sz w:val="22"/>
              </w:rPr>
              <w:fldChar w:fldCharType="end"/>
            </w:r>
            <w:bookmarkEnd w:id="6"/>
          </w:p>
        </w:tc>
      </w:tr>
      <w:tr w:rsidR="003F4317" w:rsidRPr="004A19C5" w:rsidTr="003F4317">
        <w:trPr>
          <w:trHeight w:val="562"/>
          <w:jc w:val="center"/>
        </w:trPr>
        <w:tc>
          <w:tcPr>
            <w:tcW w:w="4101" w:type="pct"/>
            <w:vAlign w:val="center"/>
          </w:tcPr>
          <w:p w:rsidR="003F4317" w:rsidRPr="004A19C5" w:rsidRDefault="003F4317" w:rsidP="003F4317">
            <w:pPr>
              <w:pStyle w:val="ListParagraph"/>
              <w:numPr>
                <w:ilvl w:val="0"/>
                <w:numId w:val="5"/>
              </w:numPr>
              <w:spacing w:after="0" w:line="240" w:lineRule="auto"/>
              <w:rPr>
                <w:rFonts w:ascii="Arial" w:hAnsi="Arial" w:cs="Arial"/>
                <w:szCs w:val="20"/>
              </w:rPr>
            </w:pPr>
            <w:r w:rsidRPr="004A19C5">
              <w:rPr>
                <w:rFonts w:ascii="Arial" w:hAnsi="Arial" w:cs="Arial"/>
                <w:szCs w:val="20"/>
              </w:rPr>
              <w:t xml:space="preserve">Subtract any other costs as required per Uniform Guidance </w:t>
            </w:r>
          </w:p>
        </w:tc>
        <w:tc>
          <w:tcPr>
            <w:tcW w:w="899" w:type="pct"/>
            <w:shd w:val="clear" w:color="auto" w:fill="FFF2CC" w:themeFill="accent4" w:themeFillTint="33"/>
            <w:vAlign w:val="center"/>
          </w:tcPr>
          <w:p w:rsidR="003F4317" w:rsidRPr="004A19C5" w:rsidRDefault="003F4317" w:rsidP="007C38AD">
            <w:pPr>
              <w:rPr>
                <w:sz w:val="22"/>
              </w:rPr>
            </w:pPr>
            <w:r w:rsidRPr="004A19C5">
              <w:rPr>
                <w:sz w:val="22"/>
              </w:rPr>
              <w:fldChar w:fldCharType="begin">
                <w:ffData>
                  <w:name w:val="Text7"/>
                  <w:enabled/>
                  <w:calcOnExit w:val="0"/>
                  <w:textInput/>
                </w:ffData>
              </w:fldChar>
            </w:r>
            <w:bookmarkStart w:id="7" w:name="Text7"/>
            <w:r w:rsidRPr="004A19C5">
              <w:rPr>
                <w:sz w:val="22"/>
              </w:rPr>
              <w:instrText xml:space="preserve"> FORMTEXT </w:instrText>
            </w:r>
            <w:r w:rsidRPr="004A19C5">
              <w:rPr>
                <w:sz w:val="22"/>
              </w:rPr>
            </w:r>
            <w:r w:rsidRPr="004A19C5">
              <w:rPr>
                <w:sz w:val="22"/>
              </w:rPr>
              <w:fldChar w:fldCharType="separate"/>
            </w:r>
            <w:r w:rsidRPr="004A19C5">
              <w:rPr>
                <w:noProof/>
                <w:sz w:val="22"/>
              </w:rPr>
              <w:t> </w:t>
            </w:r>
            <w:r w:rsidRPr="004A19C5">
              <w:rPr>
                <w:noProof/>
                <w:sz w:val="22"/>
              </w:rPr>
              <w:t> </w:t>
            </w:r>
            <w:r w:rsidRPr="004A19C5">
              <w:rPr>
                <w:noProof/>
                <w:sz w:val="22"/>
              </w:rPr>
              <w:t> </w:t>
            </w:r>
            <w:r w:rsidRPr="004A19C5">
              <w:rPr>
                <w:noProof/>
                <w:sz w:val="22"/>
              </w:rPr>
              <w:t> </w:t>
            </w:r>
            <w:r w:rsidRPr="004A19C5">
              <w:rPr>
                <w:noProof/>
                <w:sz w:val="22"/>
              </w:rPr>
              <w:t> </w:t>
            </w:r>
            <w:r w:rsidRPr="004A19C5">
              <w:rPr>
                <w:sz w:val="22"/>
              </w:rPr>
              <w:fldChar w:fldCharType="end"/>
            </w:r>
            <w:bookmarkEnd w:id="7"/>
          </w:p>
          <w:p w:rsidR="003F4317" w:rsidRPr="004A19C5" w:rsidRDefault="003F4317" w:rsidP="007C38AD">
            <w:pPr>
              <w:rPr>
                <w:sz w:val="22"/>
              </w:rPr>
            </w:pPr>
          </w:p>
        </w:tc>
      </w:tr>
      <w:tr w:rsidR="003F4317" w:rsidRPr="004A19C5" w:rsidTr="003F4317">
        <w:trPr>
          <w:trHeight w:val="35"/>
          <w:jc w:val="center"/>
        </w:trPr>
        <w:tc>
          <w:tcPr>
            <w:tcW w:w="5000" w:type="pct"/>
            <w:gridSpan w:val="2"/>
            <w:shd w:val="clear" w:color="auto" w:fill="000000" w:themeFill="text1"/>
            <w:vAlign w:val="center"/>
          </w:tcPr>
          <w:p w:rsidR="003F4317" w:rsidRPr="004A19C5" w:rsidRDefault="003F4317" w:rsidP="007C38AD">
            <w:pPr>
              <w:rPr>
                <w:sz w:val="22"/>
              </w:rPr>
            </w:pPr>
          </w:p>
        </w:tc>
      </w:tr>
      <w:tr w:rsidR="003F4317" w:rsidRPr="004A19C5" w:rsidTr="003F4317">
        <w:trPr>
          <w:trHeight w:val="562"/>
          <w:jc w:val="center"/>
        </w:trPr>
        <w:tc>
          <w:tcPr>
            <w:tcW w:w="4101" w:type="pct"/>
            <w:vAlign w:val="center"/>
          </w:tcPr>
          <w:p w:rsidR="003F4317" w:rsidRPr="004A19C5" w:rsidRDefault="003F4317" w:rsidP="007C38AD">
            <w:pPr>
              <w:rPr>
                <w:sz w:val="22"/>
              </w:rPr>
            </w:pPr>
            <w:r w:rsidRPr="004A19C5">
              <w:rPr>
                <w:sz w:val="22"/>
              </w:rPr>
              <w:t>Total Modified Direct Cost (MTDC) Base of Grant</w:t>
            </w:r>
          </w:p>
        </w:tc>
        <w:tc>
          <w:tcPr>
            <w:tcW w:w="899" w:type="pct"/>
            <w:shd w:val="clear" w:color="auto" w:fill="FFF2CC" w:themeFill="accent4" w:themeFillTint="33"/>
            <w:vAlign w:val="center"/>
          </w:tcPr>
          <w:p w:rsidR="003F4317" w:rsidRPr="004A19C5" w:rsidRDefault="003F4317" w:rsidP="007C38AD">
            <w:pPr>
              <w:rPr>
                <w:sz w:val="22"/>
              </w:rPr>
            </w:pPr>
            <w:r w:rsidRPr="004A19C5">
              <w:rPr>
                <w:sz w:val="22"/>
              </w:rPr>
              <w:fldChar w:fldCharType="begin">
                <w:ffData>
                  <w:name w:val="Text8"/>
                  <w:enabled/>
                  <w:calcOnExit w:val="0"/>
                  <w:textInput/>
                </w:ffData>
              </w:fldChar>
            </w:r>
            <w:bookmarkStart w:id="8" w:name="Text8"/>
            <w:r w:rsidRPr="004A19C5">
              <w:rPr>
                <w:sz w:val="22"/>
              </w:rPr>
              <w:instrText xml:space="preserve"> FORMTEXT </w:instrText>
            </w:r>
            <w:r w:rsidRPr="004A19C5">
              <w:rPr>
                <w:sz w:val="22"/>
              </w:rPr>
            </w:r>
            <w:r w:rsidRPr="004A19C5">
              <w:rPr>
                <w:sz w:val="22"/>
              </w:rPr>
              <w:fldChar w:fldCharType="separate"/>
            </w:r>
            <w:r w:rsidRPr="004A19C5">
              <w:rPr>
                <w:noProof/>
                <w:sz w:val="22"/>
              </w:rPr>
              <w:t> </w:t>
            </w:r>
            <w:r w:rsidRPr="004A19C5">
              <w:rPr>
                <w:noProof/>
                <w:sz w:val="22"/>
              </w:rPr>
              <w:t> </w:t>
            </w:r>
            <w:r w:rsidRPr="004A19C5">
              <w:rPr>
                <w:noProof/>
                <w:sz w:val="22"/>
              </w:rPr>
              <w:t> </w:t>
            </w:r>
            <w:r w:rsidRPr="004A19C5">
              <w:rPr>
                <w:noProof/>
                <w:sz w:val="22"/>
              </w:rPr>
              <w:t> </w:t>
            </w:r>
            <w:r w:rsidRPr="004A19C5">
              <w:rPr>
                <w:noProof/>
                <w:sz w:val="22"/>
              </w:rPr>
              <w:t> </w:t>
            </w:r>
            <w:r w:rsidRPr="004A19C5">
              <w:rPr>
                <w:sz w:val="22"/>
              </w:rPr>
              <w:fldChar w:fldCharType="end"/>
            </w:r>
            <w:bookmarkEnd w:id="8"/>
          </w:p>
        </w:tc>
      </w:tr>
      <w:tr w:rsidR="003F4317" w:rsidRPr="004A19C5" w:rsidTr="003F4317">
        <w:trPr>
          <w:trHeight w:val="562"/>
          <w:jc w:val="center"/>
        </w:trPr>
        <w:tc>
          <w:tcPr>
            <w:tcW w:w="4101" w:type="pct"/>
            <w:shd w:val="clear" w:color="auto" w:fill="FFF2CC" w:themeFill="accent4" w:themeFillTint="33"/>
            <w:vAlign w:val="center"/>
          </w:tcPr>
          <w:p w:rsidR="003F4317" w:rsidRPr="004A19C5" w:rsidRDefault="003F4317" w:rsidP="003F4317">
            <w:pPr>
              <w:rPr>
                <w:sz w:val="22"/>
              </w:rPr>
            </w:pPr>
            <w:r w:rsidRPr="004A19C5">
              <w:rPr>
                <w:sz w:val="22"/>
              </w:rPr>
              <w:t xml:space="preserve">MTDC Base x </w:t>
            </w:r>
            <w:r w:rsidRPr="004A19C5">
              <w:rPr>
                <w:sz w:val="22"/>
              </w:rPr>
              <w:fldChar w:fldCharType="begin">
                <w:ffData>
                  <w:name w:val="Text10"/>
                  <w:enabled/>
                  <w:calcOnExit w:val="0"/>
                  <w:textInput/>
                </w:ffData>
              </w:fldChar>
            </w:r>
            <w:bookmarkStart w:id="9" w:name="Text10"/>
            <w:r w:rsidRPr="004A19C5">
              <w:rPr>
                <w:sz w:val="22"/>
              </w:rPr>
              <w:instrText xml:space="preserve"> FORMTEXT </w:instrText>
            </w:r>
            <w:r w:rsidRPr="004A19C5">
              <w:rPr>
                <w:sz w:val="22"/>
              </w:rPr>
            </w:r>
            <w:r w:rsidRPr="004A19C5">
              <w:rPr>
                <w:sz w:val="22"/>
              </w:rPr>
              <w:fldChar w:fldCharType="separate"/>
            </w:r>
            <w:r w:rsidRPr="004A19C5">
              <w:rPr>
                <w:noProof/>
                <w:sz w:val="22"/>
              </w:rPr>
              <w:t> </w:t>
            </w:r>
            <w:r w:rsidRPr="004A19C5">
              <w:rPr>
                <w:noProof/>
                <w:sz w:val="22"/>
              </w:rPr>
              <w:t> </w:t>
            </w:r>
            <w:r w:rsidRPr="004A19C5">
              <w:rPr>
                <w:noProof/>
                <w:sz w:val="22"/>
              </w:rPr>
              <w:t> </w:t>
            </w:r>
            <w:r w:rsidRPr="004A19C5">
              <w:rPr>
                <w:noProof/>
                <w:sz w:val="22"/>
              </w:rPr>
              <w:t> </w:t>
            </w:r>
            <w:r w:rsidRPr="004A19C5">
              <w:rPr>
                <w:noProof/>
                <w:sz w:val="22"/>
              </w:rPr>
              <w:t> </w:t>
            </w:r>
            <w:r w:rsidRPr="004A19C5">
              <w:rPr>
                <w:sz w:val="22"/>
              </w:rPr>
              <w:fldChar w:fldCharType="end"/>
            </w:r>
            <w:bookmarkEnd w:id="9"/>
            <w:r w:rsidRPr="004A19C5">
              <w:rPr>
                <w:sz w:val="22"/>
              </w:rPr>
              <w:t xml:space="preserve"> % =  allowable de </w:t>
            </w:r>
            <w:proofErr w:type="spellStart"/>
            <w:r w:rsidRPr="004A19C5">
              <w:rPr>
                <w:sz w:val="22"/>
              </w:rPr>
              <w:t>minimis</w:t>
            </w:r>
            <w:proofErr w:type="spellEnd"/>
            <w:r w:rsidRPr="004A19C5">
              <w:rPr>
                <w:sz w:val="22"/>
              </w:rPr>
              <w:t xml:space="preserve"> indirect cost amount</w:t>
            </w:r>
          </w:p>
          <w:p w:rsidR="0094138E" w:rsidRPr="004A19C5" w:rsidRDefault="0094138E" w:rsidP="003F4317">
            <w:pPr>
              <w:rPr>
                <w:sz w:val="22"/>
              </w:rPr>
            </w:pPr>
            <w:r w:rsidRPr="004A19C5">
              <w:rPr>
                <w:sz w:val="22"/>
              </w:rPr>
              <w:t>Percentage cannot exceed 10%.</w:t>
            </w:r>
          </w:p>
        </w:tc>
        <w:tc>
          <w:tcPr>
            <w:tcW w:w="899" w:type="pct"/>
            <w:shd w:val="clear" w:color="auto" w:fill="FFF2CC" w:themeFill="accent4" w:themeFillTint="33"/>
            <w:vAlign w:val="center"/>
          </w:tcPr>
          <w:p w:rsidR="003F4317" w:rsidRPr="004A19C5" w:rsidRDefault="003F4317" w:rsidP="007C38AD">
            <w:pPr>
              <w:rPr>
                <w:sz w:val="22"/>
              </w:rPr>
            </w:pPr>
            <w:r w:rsidRPr="004A19C5">
              <w:rPr>
                <w:sz w:val="22"/>
              </w:rPr>
              <w:fldChar w:fldCharType="begin">
                <w:ffData>
                  <w:name w:val="Text9"/>
                  <w:enabled/>
                  <w:calcOnExit w:val="0"/>
                  <w:textInput/>
                </w:ffData>
              </w:fldChar>
            </w:r>
            <w:bookmarkStart w:id="10" w:name="Text9"/>
            <w:r w:rsidRPr="004A19C5">
              <w:rPr>
                <w:sz w:val="22"/>
              </w:rPr>
              <w:instrText xml:space="preserve"> FORMTEXT </w:instrText>
            </w:r>
            <w:r w:rsidRPr="004A19C5">
              <w:rPr>
                <w:sz w:val="22"/>
              </w:rPr>
            </w:r>
            <w:r w:rsidRPr="004A19C5">
              <w:rPr>
                <w:sz w:val="22"/>
              </w:rPr>
              <w:fldChar w:fldCharType="separate"/>
            </w:r>
            <w:r w:rsidRPr="004A19C5">
              <w:rPr>
                <w:noProof/>
                <w:sz w:val="22"/>
              </w:rPr>
              <w:t> </w:t>
            </w:r>
            <w:r w:rsidRPr="004A19C5">
              <w:rPr>
                <w:noProof/>
                <w:sz w:val="22"/>
              </w:rPr>
              <w:t> </w:t>
            </w:r>
            <w:r w:rsidRPr="004A19C5">
              <w:rPr>
                <w:noProof/>
                <w:sz w:val="22"/>
              </w:rPr>
              <w:t> </w:t>
            </w:r>
            <w:r w:rsidRPr="004A19C5">
              <w:rPr>
                <w:noProof/>
                <w:sz w:val="22"/>
              </w:rPr>
              <w:t> </w:t>
            </w:r>
            <w:r w:rsidRPr="004A19C5">
              <w:rPr>
                <w:noProof/>
                <w:sz w:val="22"/>
              </w:rPr>
              <w:t> </w:t>
            </w:r>
            <w:r w:rsidRPr="004A19C5">
              <w:rPr>
                <w:sz w:val="22"/>
              </w:rPr>
              <w:fldChar w:fldCharType="end"/>
            </w:r>
            <w:bookmarkEnd w:id="10"/>
          </w:p>
          <w:p w:rsidR="003F4317" w:rsidRPr="004A19C5" w:rsidRDefault="003F4317" w:rsidP="007C38AD">
            <w:pPr>
              <w:rPr>
                <w:sz w:val="22"/>
              </w:rPr>
            </w:pPr>
          </w:p>
        </w:tc>
      </w:tr>
    </w:tbl>
    <w:p w:rsidR="003F4317" w:rsidRPr="003F4317" w:rsidRDefault="003F4317" w:rsidP="003F4317">
      <w:pPr>
        <w:contextualSpacing/>
        <w:rPr>
          <w:sz w:val="22"/>
          <w:szCs w:val="22"/>
        </w:rPr>
      </w:pPr>
    </w:p>
    <w:p w:rsidR="003F4317" w:rsidRPr="003F4317" w:rsidRDefault="003F4317" w:rsidP="003F4317">
      <w:pPr>
        <w:contextualSpacing/>
        <w:rPr>
          <w:sz w:val="22"/>
          <w:szCs w:val="22"/>
        </w:rPr>
      </w:pPr>
      <w:r w:rsidRPr="003F4317">
        <w:rPr>
          <w:sz w:val="22"/>
          <w:szCs w:val="22"/>
        </w:rPr>
        <w:t xml:space="preserve">By signing below, I certify that </w:t>
      </w:r>
      <w:r>
        <w:rPr>
          <w:sz w:val="22"/>
          <w:szCs w:val="22"/>
        </w:rPr>
        <w:t xml:space="preserve">the </w:t>
      </w:r>
      <w:r w:rsidR="00215635">
        <w:rPr>
          <w:sz w:val="22"/>
          <w:szCs w:val="22"/>
        </w:rPr>
        <w:t>grantee</w:t>
      </w:r>
      <w:r>
        <w:rPr>
          <w:sz w:val="22"/>
          <w:szCs w:val="22"/>
        </w:rPr>
        <w:t xml:space="preserve"> listed above </w:t>
      </w:r>
      <w:r w:rsidRPr="003F4317">
        <w:rPr>
          <w:sz w:val="22"/>
          <w:szCs w:val="22"/>
        </w:rPr>
        <w:t xml:space="preserve">does not have a current Federally-negotiated indirect cost rate for any awards and has received less than $35 million in direct federal funding for the fiscal year requested. </w:t>
      </w:r>
    </w:p>
    <w:p w:rsidR="003F4317" w:rsidRPr="003F4317" w:rsidRDefault="003F4317" w:rsidP="003F4317">
      <w:pPr>
        <w:contextualSpacing/>
        <w:rPr>
          <w:sz w:val="22"/>
          <w:szCs w:val="22"/>
        </w:rPr>
      </w:pPr>
    </w:p>
    <w:p w:rsidR="003F4317" w:rsidRPr="003F4317" w:rsidRDefault="003F4317" w:rsidP="003F4317">
      <w:pPr>
        <w:contextualSpacing/>
        <w:rPr>
          <w:sz w:val="22"/>
          <w:szCs w:val="22"/>
        </w:rPr>
      </w:pPr>
      <w:r w:rsidRPr="003F4317">
        <w:rPr>
          <w:sz w:val="22"/>
          <w:szCs w:val="22"/>
        </w:rPr>
        <w:t xml:space="preserve">In addition, the undersigned certifies that project costs will be consistently charged as either indirect or direct and will not be double charged or inconsistently charged as both, that project costs will be charged consistently between all Federal awards, and that the proper calculation, use and application of the de </w:t>
      </w:r>
      <w:proofErr w:type="spellStart"/>
      <w:r w:rsidRPr="003F4317">
        <w:rPr>
          <w:sz w:val="22"/>
          <w:szCs w:val="22"/>
        </w:rPr>
        <w:t>minimis</w:t>
      </w:r>
      <w:proofErr w:type="spellEnd"/>
      <w:r w:rsidRPr="003F4317">
        <w:rPr>
          <w:sz w:val="22"/>
          <w:szCs w:val="22"/>
        </w:rPr>
        <w:t xml:space="preserve"> rate is the responsibility </w:t>
      </w:r>
      <w:r>
        <w:rPr>
          <w:sz w:val="22"/>
          <w:szCs w:val="22"/>
        </w:rPr>
        <w:t xml:space="preserve">of the grantee. </w:t>
      </w:r>
      <w:r w:rsidRPr="003F4317">
        <w:rPr>
          <w:sz w:val="22"/>
          <w:szCs w:val="22"/>
        </w:rPr>
        <w:t>OCVA may perform a financial monitoring review to ensure compliance with 2 CFR Part 200.</w:t>
      </w:r>
    </w:p>
    <w:p w:rsidR="003F4317" w:rsidRPr="003F4317" w:rsidRDefault="003F4317" w:rsidP="003F4317">
      <w:pPr>
        <w:contextualSpacing/>
        <w:rPr>
          <w:sz w:val="22"/>
          <w:szCs w:val="22"/>
        </w:rPr>
      </w:pPr>
    </w:p>
    <w:tbl>
      <w:tblPr>
        <w:tblStyle w:val="TableGrid"/>
        <w:tblW w:w="0" w:type="auto"/>
        <w:tblLayout w:type="fixed"/>
        <w:tblLook w:val="04A0" w:firstRow="1" w:lastRow="0" w:firstColumn="1" w:lastColumn="0" w:noHBand="0" w:noVBand="1"/>
      </w:tblPr>
      <w:tblGrid>
        <w:gridCol w:w="5035"/>
        <w:gridCol w:w="5035"/>
      </w:tblGrid>
      <w:tr w:rsidR="00215635" w:rsidTr="00F03BFD">
        <w:tc>
          <w:tcPr>
            <w:tcW w:w="5035" w:type="dxa"/>
            <w:shd w:val="clear" w:color="auto" w:fill="FFF2CC" w:themeFill="accent4" w:themeFillTint="33"/>
          </w:tcPr>
          <w:p w:rsidR="00215635" w:rsidRDefault="00215635" w:rsidP="003F4317">
            <w:pPr>
              <w:contextualSpacing/>
              <w:rPr>
                <w:sz w:val="22"/>
                <w:szCs w:val="22"/>
              </w:rPr>
            </w:pPr>
            <w:r>
              <w:rPr>
                <w:sz w:val="22"/>
                <w:szCs w:val="22"/>
              </w:rPr>
              <w:fldChar w:fldCharType="begin">
                <w:ffData>
                  <w:name w:val="Text11"/>
                  <w:enabled/>
                  <w:calcOnExit w:val="0"/>
                  <w:textInput/>
                </w:ffData>
              </w:fldChar>
            </w:r>
            <w:bookmarkStart w:id="11"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rsidR="00215635" w:rsidRDefault="00215635" w:rsidP="003F4317">
            <w:pPr>
              <w:contextualSpacing/>
              <w:rPr>
                <w:sz w:val="22"/>
                <w:szCs w:val="22"/>
              </w:rPr>
            </w:pPr>
          </w:p>
        </w:tc>
        <w:tc>
          <w:tcPr>
            <w:tcW w:w="5035" w:type="dxa"/>
            <w:shd w:val="clear" w:color="auto" w:fill="FFF2CC" w:themeFill="accent4" w:themeFillTint="33"/>
          </w:tcPr>
          <w:p w:rsidR="00215635" w:rsidRDefault="00215635" w:rsidP="003F4317">
            <w:pPr>
              <w:contextualSpacing/>
              <w:rPr>
                <w:sz w:val="22"/>
                <w:szCs w:val="22"/>
              </w:rPr>
            </w:pPr>
            <w:r>
              <w:rPr>
                <w:sz w:val="22"/>
                <w:szCs w:val="22"/>
              </w:rPr>
              <w:fldChar w:fldCharType="begin">
                <w:ffData>
                  <w:name w:val="Text12"/>
                  <w:enabled/>
                  <w:calcOnExit w:val="0"/>
                  <w:textInput/>
                </w:ffData>
              </w:fldChar>
            </w:r>
            <w:bookmarkStart w:id="1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215635" w:rsidTr="00215635">
        <w:tc>
          <w:tcPr>
            <w:tcW w:w="5035" w:type="dxa"/>
          </w:tcPr>
          <w:p w:rsidR="00215635" w:rsidRPr="003F4317" w:rsidRDefault="00215635" w:rsidP="00215635">
            <w:pPr>
              <w:contextualSpacing/>
              <w:rPr>
                <w:sz w:val="22"/>
                <w:szCs w:val="22"/>
              </w:rPr>
            </w:pPr>
            <w:r>
              <w:rPr>
                <w:sz w:val="22"/>
                <w:szCs w:val="22"/>
              </w:rPr>
              <w:t xml:space="preserve">Electronic </w:t>
            </w:r>
            <w:r w:rsidRPr="003F4317">
              <w:rPr>
                <w:sz w:val="22"/>
                <w:szCs w:val="22"/>
              </w:rPr>
              <w:t>Signature of Authorized Official</w:t>
            </w:r>
          </w:p>
          <w:p w:rsidR="00215635" w:rsidRDefault="00215635" w:rsidP="003F4317">
            <w:pPr>
              <w:contextualSpacing/>
              <w:rPr>
                <w:sz w:val="22"/>
                <w:szCs w:val="22"/>
              </w:rPr>
            </w:pPr>
          </w:p>
        </w:tc>
        <w:tc>
          <w:tcPr>
            <w:tcW w:w="5035" w:type="dxa"/>
          </w:tcPr>
          <w:p w:rsidR="00215635" w:rsidRDefault="00215635" w:rsidP="003F4317">
            <w:pPr>
              <w:contextualSpacing/>
              <w:rPr>
                <w:sz w:val="22"/>
                <w:szCs w:val="22"/>
              </w:rPr>
            </w:pPr>
            <w:r w:rsidRPr="003F4317">
              <w:rPr>
                <w:sz w:val="22"/>
                <w:szCs w:val="22"/>
              </w:rPr>
              <w:t>Name of Authorized Official</w:t>
            </w:r>
          </w:p>
        </w:tc>
      </w:tr>
    </w:tbl>
    <w:p w:rsidR="003F4317" w:rsidRPr="004A19C5" w:rsidRDefault="003F4317" w:rsidP="004A19C5">
      <w:pPr>
        <w:tabs>
          <w:tab w:val="left" w:pos="7860"/>
        </w:tabs>
        <w:rPr>
          <w:sz w:val="22"/>
          <w:szCs w:val="22"/>
        </w:rPr>
      </w:pPr>
    </w:p>
    <w:sectPr w:rsidR="003F4317" w:rsidRPr="004A19C5" w:rsidSect="00D723BD">
      <w:headerReference w:type="default" r:id="rId8"/>
      <w:footerReference w:type="default" r:id="rId9"/>
      <w:pgSz w:w="12240" w:h="15840"/>
      <w:pgMar w:top="270" w:right="1080" w:bottom="1440" w:left="1080" w:header="720" w:footer="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FD" w:rsidRDefault="00033CFD" w:rsidP="00033CFD">
      <w:r>
        <w:separator/>
      </w:r>
    </w:p>
  </w:endnote>
  <w:endnote w:type="continuationSeparator" w:id="0">
    <w:p w:rsidR="00033CFD" w:rsidRDefault="00033CFD" w:rsidP="0003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3B" w:rsidRPr="009E2318" w:rsidRDefault="0093366D" w:rsidP="009E2318">
    <w:pPr>
      <w:pStyle w:val="Footer"/>
      <w:rPr>
        <w:i/>
        <w:sz w:val="20"/>
      </w:rPr>
    </w:pPr>
    <w:r w:rsidRPr="009E2318">
      <w:rPr>
        <w:i/>
        <w:sz w:val="20"/>
      </w:rPr>
      <w:t xml:space="preserve">Updated </w:t>
    </w:r>
    <w:r w:rsidR="00033CFD">
      <w:rPr>
        <w:i/>
        <w:sz w:val="20"/>
      </w:rPr>
      <w:t>3/</w:t>
    </w:r>
    <w:r w:rsidR="00215635">
      <w:rPr>
        <w:i/>
        <w:sz w:val="20"/>
      </w:rPr>
      <w:t>21</w:t>
    </w:r>
    <w:r w:rsidR="00033CFD">
      <w:rPr>
        <w:i/>
        <w:sz w:val="20"/>
      </w:rPr>
      <w:t>/22</w:t>
    </w:r>
    <w:r w:rsidRPr="009E2318">
      <w:rPr>
        <w:i/>
        <w:sz w:val="20"/>
      </w:rPr>
      <w:t xml:space="preserve">      </w:t>
    </w:r>
    <w:r w:rsidR="00717ECB">
      <w:rPr>
        <w:i/>
        <w:sz w:val="20"/>
      </w:rPr>
      <w:t xml:space="preserve"> </w:t>
    </w:r>
    <w:r w:rsidRPr="009E2318">
      <w:rPr>
        <w:i/>
        <w:sz w:val="20"/>
      </w:rPr>
      <w:t xml:space="preserve">                                                                             </w:t>
    </w:r>
    <w:r>
      <w:rPr>
        <w:i/>
        <w:sz w:val="20"/>
      </w:rPr>
      <w:t xml:space="preserve">                                                   </w:t>
    </w:r>
    <w:r w:rsidRPr="009E2318">
      <w:rPr>
        <w:i/>
        <w:sz w:val="20"/>
      </w:rPr>
      <w:t xml:space="preserve"> </w:t>
    </w:r>
    <w:sdt>
      <w:sdtPr>
        <w:rPr>
          <w:sz w:val="20"/>
        </w:rPr>
        <w:id w:val="-1432806693"/>
        <w:docPartObj>
          <w:docPartGallery w:val="Page Numbers (Bottom of Page)"/>
          <w:docPartUnique/>
        </w:docPartObj>
      </w:sdtPr>
      <w:sdtEndPr/>
      <w:sdtContent>
        <w:sdt>
          <w:sdtPr>
            <w:rPr>
              <w:sz w:val="20"/>
            </w:rPr>
            <w:id w:val="-2015137978"/>
            <w:docPartObj>
              <w:docPartGallery w:val="Page Numbers (Top of Page)"/>
              <w:docPartUnique/>
            </w:docPartObj>
          </w:sdtPr>
          <w:sdtEndPr/>
          <w:sdtContent>
            <w:r w:rsidRPr="009E2318">
              <w:rPr>
                <w:sz w:val="20"/>
              </w:rPr>
              <w:t xml:space="preserve">Page </w:t>
            </w:r>
            <w:r w:rsidRPr="009E2318">
              <w:rPr>
                <w:b/>
                <w:bCs/>
                <w:sz w:val="20"/>
              </w:rPr>
              <w:fldChar w:fldCharType="begin"/>
            </w:r>
            <w:r w:rsidRPr="009E2318">
              <w:rPr>
                <w:b/>
                <w:bCs/>
                <w:sz w:val="20"/>
              </w:rPr>
              <w:instrText xml:space="preserve"> PAGE </w:instrText>
            </w:r>
            <w:r w:rsidRPr="009E2318">
              <w:rPr>
                <w:b/>
                <w:bCs/>
                <w:sz w:val="20"/>
              </w:rPr>
              <w:fldChar w:fldCharType="separate"/>
            </w:r>
            <w:r w:rsidR="007F6AF0">
              <w:rPr>
                <w:b/>
                <w:bCs/>
                <w:noProof/>
                <w:sz w:val="20"/>
              </w:rPr>
              <w:t>1</w:t>
            </w:r>
            <w:r w:rsidRPr="009E2318">
              <w:rPr>
                <w:b/>
                <w:bCs/>
                <w:sz w:val="20"/>
              </w:rPr>
              <w:fldChar w:fldCharType="end"/>
            </w:r>
            <w:r w:rsidRPr="009E2318">
              <w:rPr>
                <w:sz w:val="20"/>
              </w:rPr>
              <w:t xml:space="preserve"> of </w:t>
            </w:r>
            <w:r w:rsidRPr="009E2318">
              <w:rPr>
                <w:b/>
                <w:bCs/>
                <w:sz w:val="20"/>
              </w:rPr>
              <w:fldChar w:fldCharType="begin"/>
            </w:r>
            <w:r w:rsidRPr="009E2318">
              <w:rPr>
                <w:b/>
                <w:bCs/>
                <w:sz w:val="20"/>
              </w:rPr>
              <w:instrText xml:space="preserve"> NUMPAGES  </w:instrText>
            </w:r>
            <w:r w:rsidRPr="009E2318">
              <w:rPr>
                <w:b/>
                <w:bCs/>
                <w:sz w:val="20"/>
              </w:rPr>
              <w:fldChar w:fldCharType="separate"/>
            </w:r>
            <w:r w:rsidR="007F6AF0">
              <w:rPr>
                <w:b/>
                <w:bCs/>
                <w:noProof/>
                <w:sz w:val="20"/>
              </w:rPr>
              <w:t>1</w:t>
            </w:r>
            <w:r w:rsidRPr="009E2318">
              <w:rPr>
                <w:b/>
                <w:bCs/>
                <w:sz w:val="20"/>
              </w:rPr>
              <w:fldChar w:fldCharType="end"/>
            </w:r>
          </w:sdtContent>
        </w:sdt>
      </w:sdtContent>
    </w:sdt>
  </w:p>
  <w:p w:rsidR="00CE353B" w:rsidRPr="004C332B" w:rsidRDefault="007F6AF0">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FD" w:rsidRDefault="00033CFD" w:rsidP="00033CFD">
      <w:r>
        <w:separator/>
      </w:r>
    </w:p>
  </w:footnote>
  <w:footnote w:type="continuationSeparator" w:id="0">
    <w:p w:rsidR="00033CFD" w:rsidRDefault="00033CFD" w:rsidP="00033CFD">
      <w:r>
        <w:continuationSeparator/>
      </w:r>
    </w:p>
  </w:footnote>
  <w:footnote w:id="1">
    <w:p w:rsidR="003F4317" w:rsidRPr="004A19C5" w:rsidRDefault="003F4317">
      <w:pPr>
        <w:pStyle w:val="FootnoteText"/>
        <w:rPr>
          <w:sz w:val="18"/>
        </w:rPr>
      </w:pPr>
      <w:r w:rsidRPr="004A19C5">
        <w:rPr>
          <w:rStyle w:val="FootnoteReference"/>
          <w:sz w:val="18"/>
        </w:rPr>
        <w:footnoteRef/>
      </w:r>
      <w:r w:rsidRPr="004A19C5">
        <w:rPr>
          <w:sz w:val="18"/>
        </w:rPr>
        <w:t xml:space="preserve"> </w:t>
      </w:r>
      <w:r w:rsidRPr="004A19C5">
        <w:rPr>
          <w:sz w:val="16"/>
          <w:szCs w:val="18"/>
        </w:rPr>
        <w:t>Modified Total Direct Cost (MTDC) means all</w:t>
      </w:r>
      <w:r w:rsidRPr="004A19C5">
        <w:rPr>
          <w:iCs/>
          <w:sz w:val="16"/>
          <w:szCs w:val="18"/>
        </w:rPr>
        <w:t xml:space="preserve">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w:t>
      </w:r>
    </w:p>
  </w:footnote>
  <w:footnote w:id="2">
    <w:p w:rsidR="003F4317" w:rsidRDefault="003F4317" w:rsidP="00215635">
      <w:pPr>
        <w:spacing w:after="240"/>
        <w:contextualSpacing/>
      </w:pPr>
      <w:r w:rsidRPr="004A19C5">
        <w:rPr>
          <w:rStyle w:val="FootnoteReference"/>
          <w:sz w:val="16"/>
          <w:szCs w:val="18"/>
        </w:rPr>
        <w:footnoteRef/>
      </w:r>
      <w:r w:rsidRPr="004A19C5">
        <w:rPr>
          <w:sz w:val="16"/>
          <w:szCs w:val="18"/>
        </w:rPr>
        <w:t xml:space="preserve"> Equipment means tangible personal property having a useful life of more than one year and a per unit acquisition cost of $5,000. Equipment purchases must be pre-approved by OCVA before incurring. See Uniform Guida</w:t>
      </w:r>
      <w:r w:rsidR="004A19C5">
        <w:rPr>
          <w:sz w:val="16"/>
          <w:szCs w:val="18"/>
        </w:rPr>
        <w:t>nce, 2 CFR § 200.33 –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C5" w:rsidRDefault="00A13661">
    <w:pPr>
      <w:pStyle w:val="Header"/>
    </w:pPr>
    <w:r>
      <w:rPr>
        <w:i/>
        <w:szCs w:val="56"/>
      </w:rPr>
      <w:t>Awareness Campaign</w:t>
    </w:r>
    <w:r w:rsidR="004A19C5" w:rsidRPr="00242A1F">
      <w:rPr>
        <w:i/>
        <w:szCs w:val="56"/>
      </w:rPr>
      <w:t xml:space="preserve"> </w:t>
    </w:r>
    <w:r w:rsidR="004A19C5" w:rsidRPr="00242A1F">
      <w:rPr>
        <w:i/>
        <w:szCs w:val="24"/>
      </w:rPr>
      <w:t>Proposal</w:t>
    </w:r>
    <w:r w:rsidR="004A19C5" w:rsidRPr="00242A1F">
      <w:rPr>
        <w:i/>
        <w:szCs w:val="24"/>
      </w:rPr>
      <w:ptab w:relativeTo="margin" w:alignment="center" w:leader="none"/>
    </w:r>
    <w:r w:rsidR="004A19C5" w:rsidRPr="00242A1F">
      <w:rPr>
        <w:szCs w:val="24"/>
      </w:rPr>
      <w:ptab w:relativeTo="margin" w:alignment="right" w:leader="none"/>
    </w:r>
    <w:r w:rsidR="004A19C5">
      <w:rPr>
        <w:szCs w:val="24"/>
      </w:rPr>
      <w:t>Attachment D: MTDC Certification</w:t>
    </w:r>
    <w:r w:rsidR="004A19C5">
      <w:ptab w:relativeTo="margin" w:alignment="center" w:leader="none"/>
    </w:r>
    <w:r w:rsidR="004A19C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50"/>
    <w:multiLevelType w:val="hybridMultilevel"/>
    <w:tmpl w:val="B05C49D4"/>
    <w:lvl w:ilvl="0" w:tplc="07E412AC">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35D9B"/>
    <w:multiLevelType w:val="hybridMultilevel"/>
    <w:tmpl w:val="0B6EFAB8"/>
    <w:lvl w:ilvl="0" w:tplc="5E58DF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E7528"/>
    <w:multiLevelType w:val="hybridMultilevel"/>
    <w:tmpl w:val="462C753E"/>
    <w:lvl w:ilvl="0" w:tplc="761A5FC0">
      <w:start w:val="1"/>
      <w:numFmt w:val="bullet"/>
      <w:lvlText w:val="o"/>
      <w:lvlJc w:val="left"/>
      <w:pPr>
        <w:ind w:left="1080" w:hanging="360"/>
      </w:pPr>
      <w:rPr>
        <w:rFonts w:ascii="Courier New" w:hAnsi="Courier New" w:hint="default"/>
        <w:color w:val="000000" w:themeColor="tex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F61C5D"/>
    <w:multiLevelType w:val="hybridMultilevel"/>
    <w:tmpl w:val="BC105940"/>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CB0C80"/>
    <w:multiLevelType w:val="hybridMultilevel"/>
    <w:tmpl w:val="D552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FD"/>
    <w:rsid w:val="00033CFD"/>
    <w:rsid w:val="0005262B"/>
    <w:rsid w:val="0005611A"/>
    <w:rsid w:val="001615EB"/>
    <w:rsid w:val="001E511D"/>
    <w:rsid w:val="00215635"/>
    <w:rsid w:val="00260E90"/>
    <w:rsid w:val="002F1DD2"/>
    <w:rsid w:val="002F320D"/>
    <w:rsid w:val="00360BE6"/>
    <w:rsid w:val="003B5CD8"/>
    <w:rsid w:val="003B658D"/>
    <w:rsid w:val="003F4317"/>
    <w:rsid w:val="00463FC0"/>
    <w:rsid w:val="004A19C5"/>
    <w:rsid w:val="00680AD3"/>
    <w:rsid w:val="00701EA4"/>
    <w:rsid w:val="00717ECB"/>
    <w:rsid w:val="007F6AF0"/>
    <w:rsid w:val="00830E69"/>
    <w:rsid w:val="008C15CA"/>
    <w:rsid w:val="00926D41"/>
    <w:rsid w:val="0093366D"/>
    <w:rsid w:val="0094138E"/>
    <w:rsid w:val="00A13661"/>
    <w:rsid w:val="00B177A7"/>
    <w:rsid w:val="00B459BF"/>
    <w:rsid w:val="00B8607C"/>
    <w:rsid w:val="00D04F83"/>
    <w:rsid w:val="00D404CC"/>
    <w:rsid w:val="00D723BD"/>
    <w:rsid w:val="00F0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3FD5313-B4D3-4F62-B76E-D666F788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FD"/>
    <w:pPr>
      <w:spacing w:after="0" w:line="240" w:lineRule="auto"/>
    </w:pPr>
    <w:rPr>
      <w:rFonts w:ascii="Arial" w:eastAsia="Times New Roman" w:hAnsi="Arial" w:cs="Arial"/>
      <w:sz w:val="24"/>
      <w:szCs w:val="20"/>
    </w:rPr>
  </w:style>
  <w:style w:type="paragraph" w:styleId="Heading1">
    <w:name w:val="heading 1"/>
    <w:basedOn w:val="Title"/>
    <w:next w:val="Normal"/>
    <w:link w:val="Heading1Char"/>
    <w:uiPriority w:val="9"/>
    <w:qFormat/>
    <w:rsid w:val="00033CFD"/>
    <w:pPr>
      <w:pBdr>
        <w:top w:val="single" w:sz="18" w:space="1" w:color="000000"/>
        <w:left w:val="single" w:sz="18" w:space="4" w:color="000000"/>
        <w:bottom w:val="single" w:sz="18" w:space="1" w:color="000000"/>
        <w:right w:val="single" w:sz="18" w:space="4" w:color="000000"/>
      </w:pBdr>
      <w:shd w:val="clear" w:color="auto" w:fill="DBE5F1"/>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FD"/>
    <w:rPr>
      <w:rFonts w:ascii="Arial" w:eastAsia="Times New Roman" w:hAnsi="Arial" w:cs="Arial"/>
      <w:b/>
      <w:sz w:val="32"/>
      <w:szCs w:val="32"/>
      <w:shd w:val="clear" w:color="auto" w:fill="DBE5F1"/>
    </w:rPr>
  </w:style>
  <w:style w:type="paragraph" w:styleId="Title">
    <w:name w:val="Title"/>
    <w:basedOn w:val="Normal"/>
    <w:link w:val="TitleChar"/>
    <w:qFormat/>
    <w:rsid w:val="00033CFD"/>
    <w:pPr>
      <w:jc w:val="center"/>
    </w:pPr>
    <w:rPr>
      <w:szCs w:val="24"/>
    </w:rPr>
  </w:style>
  <w:style w:type="character" w:customStyle="1" w:styleId="TitleChar">
    <w:name w:val="Title Char"/>
    <w:basedOn w:val="DefaultParagraphFont"/>
    <w:link w:val="Title"/>
    <w:rsid w:val="00033CFD"/>
    <w:rPr>
      <w:rFonts w:ascii="Arial" w:eastAsia="Times New Roman" w:hAnsi="Arial" w:cs="Arial"/>
      <w:sz w:val="24"/>
      <w:szCs w:val="24"/>
    </w:rPr>
  </w:style>
  <w:style w:type="paragraph" w:styleId="Footer">
    <w:name w:val="footer"/>
    <w:basedOn w:val="Normal"/>
    <w:link w:val="FooterChar"/>
    <w:uiPriority w:val="99"/>
    <w:unhideWhenUsed/>
    <w:rsid w:val="00033CFD"/>
    <w:pPr>
      <w:tabs>
        <w:tab w:val="center" w:pos="4680"/>
        <w:tab w:val="right" w:pos="9360"/>
      </w:tabs>
    </w:pPr>
  </w:style>
  <w:style w:type="character" w:customStyle="1" w:styleId="FooterChar">
    <w:name w:val="Footer Char"/>
    <w:basedOn w:val="DefaultParagraphFont"/>
    <w:link w:val="Footer"/>
    <w:uiPriority w:val="99"/>
    <w:rsid w:val="00033CFD"/>
    <w:rPr>
      <w:rFonts w:ascii="Arial" w:eastAsia="Times New Roman" w:hAnsi="Arial" w:cs="Arial"/>
      <w:sz w:val="24"/>
      <w:szCs w:val="20"/>
    </w:rPr>
  </w:style>
  <w:style w:type="paragraph" w:styleId="ListBullet">
    <w:name w:val="List Bullet"/>
    <w:basedOn w:val="Normal"/>
    <w:uiPriority w:val="31"/>
    <w:rsid w:val="00033CFD"/>
    <w:pPr>
      <w:numPr>
        <w:numId w:val="1"/>
      </w:numPr>
      <w:spacing w:after="120" w:line="264" w:lineRule="auto"/>
      <w:contextualSpacing/>
    </w:pPr>
    <w:rPr>
      <w:rFonts w:asciiTheme="minorHAnsi" w:eastAsiaTheme="minorEastAsia" w:hAnsiTheme="minorHAnsi" w:cstheme="minorBidi"/>
      <w:sz w:val="21"/>
      <w:szCs w:val="21"/>
      <w:lang w:eastAsia="ja-JP"/>
    </w:rPr>
  </w:style>
  <w:style w:type="character" w:styleId="Hyperlink">
    <w:name w:val="Hyperlink"/>
    <w:basedOn w:val="DefaultParagraphFont"/>
    <w:uiPriority w:val="99"/>
    <w:unhideWhenUsed/>
    <w:rsid w:val="00033CFD"/>
    <w:rPr>
      <w:color w:val="0563C1" w:themeColor="hyperlink"/>
      <w:u w:val="single"/>
    </w:rPr>
  </w:style>
  <w:style w:type="paragraph" w:styleId="Header">
    <w:name w:val="header"/>
    <w:basedOn w:val="Normal"/>
    <w:link w:val="HeaderChar"/>
    <w:uiPriority w:val="99"/>
    <w:unhideWhenUsed/>
    <w:rsid w:val="00033CFD"/>
    <w:pPr>
      <w:tabs>
        <w:tab w:val="center" w:pos="4680"/>
        <w:tab w:val="right" w:pos="9360"/>
      </w:tabs>
    </w:pPr>
  </w:style>
  <w:style w:type="character" w:customStyle="1" w:styleId="HeaderChar">
    <w:name w:val="Header Char"/>
    <w:basedOn w:val="DefaultParagraphFont"/>
    <w:link w:val="Header"/>
    <w:uiPriority w:val="99"/>
    <w:rsid w:val="00033CFD"/>
    <w:rPr>
      <w:rFonts w:ascii="Arial" w:eastAsia="Times New Roman" w:hAnsi="Arial" w:cs="Arial"/>
      <w:sz w:val="24"/>
      <w:szCs w:val="20"/>
    </w:rPr>
  </w:style>
  <w:style w:type="paragraph" w:styleId="ListParagraph">
    <w:name w:val="List Paragraph"/>
    <w:basedOn w:val="Normal"/>
    <w:uiPriority w:val="34"/>
    <w:qFormat/>
    <w:rsid w:val="002F1DD2"/>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unhideWhenUsed/>
    <w:rsid w:val="003F4317"/>
    <w:rPr>
      <w:vertAlign w:val="superscript"/>
    </w:rPr>
  </w:style>
  <w:style w:type="table" w:styleId="TableGrid">
    <w:name w:val="Table Grid"/>
    <w:basedOn w:val="TableNormal"/>
    <w:uiPriority w:val="39"/>
    <w:rsid w:val="003F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4317"/>
    <w:rPr>
      <w:sz w:val="20"/>
    </w:rPr>
  </w:style>
  <w:style w:type="character" w:customStyle="1" w:styleId="FootnoteTextChar">
    <w:name w:val="Footnote Text Char"/>
    <w:basedOn w:val="DefaultParagraphFont"/>
    <w:link w:val="FootnoteText"/>
    <w:uiPriority w:val="99"/>
    <w:semiHidden/>
    <w:rsid w:val="003F431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7527-0B63-40CE-9AFA-2B60EAF6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Smith</dc:creator>
  <cp:keywords/>
  <dc:description/>
  <cp:lastModifiedBy>Ashly McBunch</cp:lastModifiedBy>
  <cp:revision>3</cp:revision>
  <cp:lastPrinted>2022-09-09T22:42:00Z</cp:lastPrinted>
  <dcterms:created xsi:type="dcterms:W3CDTF">2022-05-25T22:26:00Z</dcterms:created>
  <dcterms:modified xsi:type="dcterms:W3CDTF">2022-09-09T22:42:00Z</dcterms:modified>
</cp:coreProperties>
</file>