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8841D2" w14:textId="77777777" w:rsidR="006A0847" w:rsidRDefault="006A0847" w:rsidP="006A0847">
      <w:pPr>
        <w:pStyle w:val="Bodycopy1Indent"/>
        <w:ind w:left="0"/>
      </w:pPr>
      <w:r>
        <w:t>Washington State Dept. of Commerce</w:t>
      </w:r>
    </w:p>
    <w:p w14:paraId="1B51E2C4" w14:textId="77777777" w:rsidR="006A0847" w:rsidRDefault="006A0847" w:rsidP="006A0847">
      <w:pPr>
        <w:pStyle w:val="Bodycopy1Indent"/>
        <w:ind w:left="0"/>
      </w:pPr>
      <w:r>
        <w:t>Aug 30, 2022</w:t>
      </w:r>
    </w:p>
    <w:p w14:paraId="2F754C00" w14:textId="41678AF4" w:rsidR="006A0847" w:rsidRPr="006A0847" w:rsidRDefault="006A0847" w:rsidP="006A0847">
      <w:pPr>
        <w:pStyle w:val="Heading1"/>
      </w:pPr>
      <w:bookmarkStart w:id="0" w:name="_Toc112748060"/>
      <w:r>
        <w:t xml:space="preserve">Request for public comment on </w:t>
      </w:r>
      <w:r w:rsidRPr="006A0847">
        <w:t xml:space="preserve">the first </w:t>
      </w:r>
      <w:r w:rsidR="00E54396">
        <w:t>energy assistance draft r</w:t>
      </w:r>
      <w:r w:rsidRPr="006A0847">
        <w:t>eport</w:t>
      </w:r>
      <w:bookmarkEnd w:id="0"/>
    </w:p>
    <w:p w14:paraId="41F16AD3" w14:textId="77777777" w:rsidR="006A0847" w:rsidRPr="006A0847" w:rsidRDefault="006A0847" w:rsidP="006A0847"/>
    <w:p w14:paraId="2C63FFC2" w14:textId="69D58D51" w:rsidR="006A0847" w:rsidRPr="006A0847" w:rsidRDefault="00E64597" w:rsidP="007C7C03">
      <w:pPr>
        <w:pStyle w:val="Bodycopy2Indent"/>
        <w:ind w:left="0"/>
      </w:pPr>
      <w:hyperlink r:id="rId12" w:history="1">
        <w:r w:rsidR="006A0847" w:rsidRPr="006A0847">
          <w:rPr>
            <w:rStyle w:val="Hyperlink"/>
          </w:rPr>
          <w:t>RCW 19.405.120</w:t>
        </w:r>
      </w:hyperlink>
      <w:r w:rsidR="006A0847" w:rsidRPr="006A0847">
        <w:t> (Sec. 120) states that it is the intent of the Washington State Legislature to demonstrate progress toward making energy assistance funds available to low-income households. It requires utilities to make programs and funding available for energy assistance to low-income households. Each utility must demonstrate progress in providing energy assistance pursuant to an assessment and plans developed under the statute. </w:t>
      </w:r>
    </w:p>
    <w:p w14:paraId="135772FF" w14:textId="77777777" w:rsidR="006A0847" w:rsidRPr="006A0847" w:rsidRDefault="006A0847" w:rsidP="007C7C03">
      <w:pPr>
        <w:pStyle w:val="Bodycopy2Indent"/>
        <w:ind w:left="0"/>
      </w:pPr>
      <w:r w:rsidRPr="006A0847">
        <w:t>The Washington State Dept. of Commerce (Commerce) is required under the statute to collect and aggregate data estimating the energy burden and energy assistance need and reported energy assistance for each electric utility, in order to improve agency and utility efforts to serve low-income households with energy assistance. In addition, the statute instructs Commerce to submit a biennial report to the Legislature that includes:</w:t>
      </w:r>
    </w:p>
    <w:p w14:paraId="1CE358FC" w14:textId="77777777" w:rsidR="006A0847" w:rsidRPr="006A0847" w:rsidRDefault="006A0847" w:rsidP="007C7C03">
      <w:pPr>
        <w:pStyle w:val="Bodycopy2Indent"/>
        <w:numPr>
          <w:ilvl w:val="0"/>
          <w:numId w:val="48"/>
        </w:numPr>
      </w:pPr>
      <w:r w:rsidRPr="006A0847">
        <w:t>A statewide summary of energy assistance programs, energy burden, and energy assistance need</w:t>
      </w:r>
    </w:p>
    <w:p w14:paraId="58D985CD" w14:textId="77777777" w:rsidR="006A0847" w:rsidRPr="006A0847" w:rsidRDefault="006A0847" w:rsidP="007C7C03">
      <w:pPr>
        <w:pStyle w:val="Bodycopy2Indent"/>
        <w:numPr>
          <w:ilvl w:val="0"/>
          <w:numId w:val="48"/>
        </w:numPr>
      </w:pPr>
      <w:r w:rsidRPr="006A0847">
        <w:t>An identification and quantification of current expenditures on low-income energy assistance</w:t>
      </w:r>
    </w:p>
    <w:p w14:paraId="2BEEE38A" w14:textId="77777777" w:rsidR="006A0847" w:rsidRPr="006A0847" w:rsidRDefault="006A0847" w:rsidP="007C7C03">
      <w:pPr>
        <w:pStyle w:val="Bodycopy2Indent"/>
        <w:numPr>
          <w:ilvl w:val="0"/>
          <w:numId w:val="48"/>
        </w:numPr>
      </w:pPr>
      <w:r w:rsidRPr="006A0847">
        <w:t>An evaluation the effectiveness of additional optimal mechanisms for energy assistance including, but not limited to, customer rates, a low-income specific discount, system benefits charges, and public and private funds</w:t>
      </w:r>
    </w:p>
    <w:p w14:paraId="069BE55A" w14:textId="77777777" w:rsidR="006A0847" w:rsidRPr="006A0847" w:rsidRDefault="006A0847" w:rsidP="007C7C03">
      <w:pPr>
        <w:pStyle w:val="Bodycopy2Indent"/>
        <w:numPr>
          <w:ilvl w:val="0"/>
          <w:numId w:val="48"/>
        </w:numPr>
      </w:pPr>
      <w:r w:rsidRPr="006A0847">
        <w:t>An assessment of mechanisms to prioritize energy assistance towards low-income households with a higher energy burden</w:t>
      </w:r>
    </w:p>
    <w:p w14:paraId="25BA545C" w14:textId="77777777" w:rsidR="006A0847" w:rsidRPr="006A0847" w:rsidRDefault="006A0847" w:rsidP="007C7C03">
      <w:pPr>
        <w:pStyle w:val="Bodycopy2"/>
      </w:pPr>
      <w:r w:rsidRPr="006A0847">
        <w:t>Commerce intends to submit its first biennial report to the Legislature by Jan. 1, 2023. </w:t>
      </w:r>
    </w:p>
    <w:p w14:paraId="78431CC5" w14:textId="77777777" w:rsidR="006A0847" w:rsidRDefault="006A0847" w:rsidP="006A0847">
      <w:pPr>
        <w:pStyle w:val="Heading3"/>
      </w:pPr>
      <w:r>
        <w:t>The first draft report</w:t>
      </w:r>
    </w:p>
    <w:p w14:paraId="41B3991E" w14:textId="54115511" w:rsidR="006A0847" w:rsidRDefault="006A0847" w:rsidP="007C7C03">
      <w:pPr>
        <w:pStyle w:val="Bodycopy2"/>
      </w:pPr>
      <w:r>
        <w:t xml:space="preserve">Below you will find the first draft of the first biennial </w:t>
      </w:r>
      <w:r w:rsidR="00E54396">
        <w:t xml:space="preserve">energy assistance </w:t>
      </w:r>
      <w:r>
        <w:t>report to the</w:t>
      </w:r>
      <w:r w:rsidR="00E54396">
        <w:t xml:space="preserve"> Washington State</w:t>
      </w:r>
      <w:r>
        <w:t xml:space="preserve"> Legislature. The content of the report follows from utility data and program assessments submitted to Commerce under Sec. 120. The utility data and program assessments have been supplemented with multiple Energy Assistance Advisory Team meetings and two stakeholder workshops over 2022.</w:t>
      </w:r>
    </w:p>
    <w:p w14:paraId="2205EEF0" w14:textId="77777777" w:rsidR="006A0847" w:rsidRDefault="006A0847" w:rsidP="007C7C03">
      <w:pPr>
        <w:pStyle w:val="Bodycopy2"/>
      </w:pPr>
      <w:r>
        <w:t>The first draft of the report outlines the structure of the report and includes content for portions of the report where data analysis has been completed. Commerce aims to provide a complete draft report by its Sept. 27 workshop.</w:t>
      </w:r>
    </w:p>
    <w:p w14:paraId="58AC3B43" w14:textId="77777777" w:rsidR="006A0847" w:rsidRDefault="006A0847" w:rsidP="007C7C03">
      <w:pPr>
        <w:pStyle w:val="Bodycopy2"/>
      </w:pPr>
      <w:r>
        <w:t xml:space="preserve">In addition to the draft report, Commerce has prepared an Excel file with utility program data and a Word document summarizing utility plans submitted as part of their program assessments under Sec. 120(4). </w:t>
      </w:r>
    </w:p>
    <w:p w14:paraId="626A5D84" w14:textId="77777777" w:rsidR="006A0847" w:rsidRDefault="006A0847" w:rsidP="006A0847">
      <w:pPr>
        <w:pStyle w:val="Heading3"/>
      </w:pPr>
      <w:r>
        <w:t>Request for public comments by Sept. 16, 2022</w:t>
      </w:r>
    </w:p>
    <w:p w14:paraId="25928B8A" w14:textId="25C3FDC8" w:rsidR="006A0847" w:rsidRDefault="006A0847" w:rsidP="007C7C03">
      <w:pPr>
        <w:pStyle w:val="Bodycopy2"/>
      </w:pPr>
      <w:r>
        <w:t xml:space="preserve">Commerce is asking the public to review and submit comments on the first draft by Sept. 16, 2022. </w:t>
      </w:r>
      <w:r w:rsidR="007C7C03">
        <w:t xml:space="preserve">These comments </w:t>
      </w:r>
      <w:r w:rsidR="00E54396">
        <w:t>may</w:t>
      </w:r>
      <w:r w:rsidR="007C7C03">
        <w:t xml:space="preserve"> include</w:t>
      </w:r>
      <w:r w:rsidR="00E54396">
        <w:t xml:space="preserve"> responses to the following questions</w:t>
      </w:r>
      <w:r w:rsidR="007C7C03">
        <w:t>:</w:t>
      </w:r>
    </w:p>
    <w:p w14:paraId="01FFE6E8" w14:textId="77777777" w:rsidR="006A0847" w:rsidRPr="006A0847" w:rsidRDefault="006A0847" w:rsidP="007C7C03">
      <w:pPr>
        <w:pStyle w:val="Bodycopy2"/>
      </w:pPr>
      <w:r>
        <w:t>What resonated with you when reading the report</w:t>
      </w:r>
      <w:r w:rsidRPr="006A0847">
        <w:t xml:space="preserve">? </w:t>
      </w:r>
    </w:p>
    <w:p w14:paraId="514A077B" w14:textId="77777777" w:rsidR="006A0847" w:rsidRPr="006A0847" w:rsidRDefault="006A0847" w:rsidP="007C7C03">
      <w:pPr>
        <w:pStyle w:val="Bodycopy2"/>
      </w:pPr>
      <w:r>
        <w:t xml:space="preserve">What is missing from the report or </w:t>
      </w:r>
      <w:r w:rsidRPr="006A0847">
        <w:t>should be highlighted more in the second draft?</w:t>
      </w:r>
    </w:p>
    <w:p w14:paraId="200DD22E" w14:textId="77777777" w:rsidR="006A0847" w:rsidRDefault="006A0847" w:rsidP="007C7C03">
      <w:pPr>
        <w:pStyle w:val="Bodycopy2"/>
      </w:pPr>
      <w:r>
        <w:t>It would help if comments were structured with the main idea both numbered and bolded and followed by an explanation. For example:</w:t>
      </w:r>
    </w:p>
    <w:p w14:paraId="04B4411C" w14:textId="77777777" w:rsidR="007C7C03" w:rsidRDefault="006A0847" w:rsidP="006A0847">
      <w:pPr>
        <w:pStyle w:val="Bodycopy2"/>
        <w:numPr>
          <w:ilvl w:val="0"/>
          <w:numId w:val="42"/>
        </w:numPr>
        <w:rPr>
          <w:rStyle w:val="BOLD"/>
        </w:rPr>
      </w:pPr>
      <w:r w:rsidRPr="007C7C03">
        <w:rPr>
          <w:rStyle w:val="BOLD"/>
        </w:rPr>
        <w:t>Commerce should include a greater conversation of the benefits of energy efficiency in the second draft of the report</w:t>
      </w:r>
    </w:p>
    <w:p w14:paraId="67529559" w14:textId="247273C8" w:rsidR="006A0847" w:rsidRPr="007C7C03" w:rsidRDefault="006A0847" w:rsidP="007C7C03">
      <w:pPr>
        <w:pStyle w:val="Bodycopy2"/>
        <w:ind w:left="360"/>
        <w:rPr>
          <w:b/>
        </w:rPr>
      </w:pPr>
      <w:r w:rsidRPr="00920981">
        <w:t>T</w:t>
      </w:r>
      <w:r w:rsidRPr="006A0847">
        <w:t>he first draft report mentions the benefits of energy assistance sparingly. We believe the agency should include a greater discussion of the healt</w:t>
      </w:r>
      <w:r w:rsidR="00362D7E">
        <w:t>h benefits and cite the attached ACEEE report</w:t>
      </w:r>
      <w:r w:rsidRPr="006A0847">
        <w:t>.</w:t>
      </w:r>
    </w:p>
    <w:p w14:paraId="66386600" w14:textId="77777777" w:rsidR="006A0847" w:rsidRDefault="006A0847" w:rsidP="006A0847">
      <w:pPr>
        <w:pStyle w:val="Bodycopy1"/>
      </w:pPr>
      <w:r>
        <w:t>Structuring your comments in this fashion will make it easier for Commerce to respond to them.</w:t>
      </w:r>
    </w:p>
    <w:p w14:paraId="1CADF2B5" w14:textId="77777777" w:rsidR="006A0847" w:rsidRDefault="006A0847" w:rsidP="006A0847">
      <w:pPr>
        <w:pStyle w:val="Heading3"/>
      </w:pPr>
      <w:r>
        <w:lastRenderedPageBreak/>
        <w:t>Request for additional information and data review by Sept. 16, 2022</w:t>
      </w:r>
    </w:p>
    <w:p w14:paraId="5844C206" w14:textId="1253ADD6" w:rsidR="006A0847" w:rsidRDefault="006A0847" w:rsidP="006A0847">
      <w:pPr>
        <w:pStyle w:val="Bodycopy1"/>
      </w:pPr>
      <w:r>
        <w:t xml:space="preserve">In addition to public comments, Commerce is requesting additional information </w:t>
      </w:r>
      <w:r w:rsidR="00362D7E">
        <w:t>from utilities.</w:t>
      </w:r>
    </w:p>
    <w:p w14:paraId="60D449D4" w14:textId="77777777" w:rsidR="006A0847" w:rsidRDefault="006A0847" w:rsidP="006A0847">
      <w:pPr>
        <w:pStyle w:val="Subheading1"/>
      </w:pPr>
      <w:r>
        <w:t>For all utilities as appropriate</w:t>
      </w:r>
    </w:p>
    <w:p w14:paraId="1E48522E" w14:textId="77777777" w:rsidR="00362D7E" w:rsidRDefault="006A0847" w:rsidP="00362D7E">
      <w:pPr>
        <w:pStyle w:val="Bodycopy2"/>
        <w:numPr>
          <w:ilvl w:val="0"/>
          <w:numId w:val="49"/>
        </w:numPr>
      </w:pPr>
      <w:r>
        <w:t>It appears many</w:t>
      </w:r>
      <w:r w:rsidRPr="006A0847">
        <w:t xml:space="preserve"> utilities with Tribes in their service areas overlooked or forgot to specifically mention the outreach strategies used to encourage participation from Tribes. Commerce is asking these utilities to provide supplemental information on their outreach strategies and consultation work with Tribes. The Dept. of Health’s </w:t>
      </w:r>
      <w:hyperlink r:id="rId13" w:history="1">
        <w:r w:rsidRPr="007C7C03">
          <w:rPr>
            <w:rStyle w:val="Hyperlink"/>
            <w:color w:val="555555" w:themeColor="text1"/>
            <w:u w:val="none"/>
          </w:rPr>
          <w:t>Environmental Health Disparities Map</w:t>
        </w:r>
      </w:hyperlink>
      <w:r w:rsidRPr="007C7C03">
        <w:t xml:space="preserve"> includes data on which utilities have Tribes in their service areas.</w:t>
      </w:r>
      <w:r w:rsidRPr="006A0847">
        <w:t xml:space="preserve"> </w:t>
      </w:r>
    </w:p>
    <w:p w14:paraId="50A5731C" w14:textId="0FF12E3C" w:rsidR="00362D7E" w:rsidRDefault="006A0847" w:rsidP="00362D7E">
      <w:pPr>
        <w:pStyle w:val="Bodycopy2"/>
        <w:numPr>
          <w:ilvl w:val="0"/>
          <w:numId w:val="49"/>
        </w:numPr>
      </w:pPr>
      <w:r>
        <w:t xml:space="preserve">Commerce will be including a discussion of </w:t>
      </w:r>
      <w:r w:rsidRPr="006A0847">
        <w:t xml:space="preserve">energy efficiency measures for tenant housing. Commerce invites utilities to share challenges and successes implementing energy efficiency retrofits for tenant housing as part of their comments due Sept. 16. </w:t>
      </w:r>
    </w:p>
    <w:p w14:paraId="3AEE7ADB" w14:textId="0A70257C" w:rsidR="00362D7E" w:rsidRDefault="007C7C03" w:rsidP="00362D7E">
      <w:pPr>
        <w:pStyle w:val="Bodycopy2"/>
        <w:numPr>
          <w:ilvl w:val="0"/>
          <w:numId w:val="49"/>
        </w:numPr>
      </w:pPr>
      <w:r>
        <w:t>Commerce is asking utilities to review its latest file on</w:t>
      </w:r>
      <w:r w:rsidRPr="006A0847">
        <w:t xml:space="preserve"> utility energy assistance data</w:t>
      </w:r>
      <w:r w:rsidR="00362D7E">
        <w:t xml:space="preserve"> posted on its </w:t>
      </w:r>
      <w:hyperlink r:id="rId14" w:history="1">
        <w:r w:rsidR="00362D7E" w:rsidRPr="00362D7E">
          <w:rPr>
            <w:rStyle w:val="Hyperlink"/>
          </w:rPr>
          <w:t>Energy Assistance webpage</w:t>
        </w:r>
      </w:hyperlink>
      <w:r w:rsidRPr="006A0847">
        <w:t>. Utilities had the opportuni</w:t>
      </w:r>
      <w:r>
        <w:t xml:space="preserve">ty to review this data on </w:t>
      </w:r>
      <w:proofErr w:type="spellStart"/>
      <w:r>
        <w:t>Smarts</w:t>
      </w:r>
      <w:r w:rsidRPr="006A0847">
        <w:t>heet</w:t>
      </w:r>
      <w:proofErr w:type="spellEnd"/>
      <w:r w:rsidR="00362D7E">
        <w:t xml:space="preserve"> during parts of July</w:t>
      </w:r>
      <w:r w:rsidRPr="006A0847">
        <w:t xml:space="preserve"> and August. Once utilities were done reviewing the file, Commerce downloaded the file and added columns clarifying program funding sources and program eligibility requirements were added. Federal programs and utility programs where the number of low-income households was unknown were removed from the file in accordance with Sec. 120 and the reporting template instructions. </w:t>
      </w:r>
    </w:p>
    <w:p w14:paraId="2B4051D7" w14:textId="77777777" w:rsidR="00362D7E" w:rsidRDefault="006A0847" w:rsidP="00362D7E">
      <w:pPr>
        <w:pStyle w:val="Bodycopy2"/>
        <w:numPr>
          <w:ilvl w:val="0"/>
          <w:numId w:val="49"/>
        </w:numPr>
      </w:pPr>
      <w:r>
        <w:t xml:space="preserve">Commerce has </w:t>
      </w:r>
      <w:r w:rsidRPr="006A0847">
        <w:t xml:space="preserve">prepared a summary document of utility plans submitted as part of their assessments in Sec. 120(4). Commerce is requesting utilities review this document and provide the agency with any suggested revisions that align with the utility’s original submission. This could include a revision to the categorization of a utility’s plans or edits to the summary itself. </w:t>
      </w:r>
    </w:p>
    <w:p w14:paraId="42A132A3" w14:textId="587C150C" w:rsidR="006A0847" w:rsidRPr="006A0847" w:rsidRDefault="006A0847" w:rsidP="00362D7E">
      <w:pPr>
        <w:pStyle w:val="Bodycopy2"/>
        <w:numPr>
          <w:ilvl w:val="0"/>
          <w:numId w:val="49"/>
        </w:numPr>
      </w:pPr>
      <w:r w:rsidRPr="00D12BE3">
        <w:t>The agency</w:t>
      </w:r>
      <w:r w:rsidRPr="006A0847">
        <w:t xml:space="preserve"> also created a spreadsheet and identified particular responses across utilities. Please review this sheet to make sure it reflects what your utility submitted as part of its plans. If you have suggested revisions, please highlight the cell you wish to indicate an addition and copy and paste a checkmark into that highlighted cell. If you wish to remove a checkmark, simply highlight the cell and </w:t>
      </w:r>
      <w:r w:rsidRPr="006A0847">
        <w:t xml:space="preserve">delete the checkmark. Submit the revised file in an email with a note explaining the revisions in the body of the email. </w:t>
      </w:r>
    </w:p>
    <w:p w14:paraId="76AC0196" w14:textId="1B00648B" w:rsidR="006A0847" w:rsidRDefault="006A0847" w:rsidP="006A0847">
      <w:pPr>
        <w:pStyle w:val="Subheading1"/>
      </w:pPr>
      <w:r>
        <w:t>Consumer-owned utilities</w:t>
      </w:r>
      <w:r w:rsidR="00362D7E">
        <w:t xml:space="preserve"> (COUs)</w:t>
      </w:r>
    </w:p>
    <w:p w14:paraId="3FC5E0E9" w14:textId="77777777" w:rsidR="006A0847" w:rsidRPr="006A0847" w:rsidRDefault="006A0847" w:rsidP="007C7C03">
      <w:pPr>
        <w:pStyle w:val="Bodycopy1"/>
        <w:numPr>
          <w:ilvl w:val="0"/>
          <w:numId w:val="46"/>
        </w:numPr>
      </w:pPr>
      <w:r>
        <w:t xml:space="preserve">Commerce is asking consumer-owned utilities </w:t>
      </w:r>
      <w:r w:rsidRPr="006A0847">
        <w:t>to review the discussion of COU consultations with community organizations and provide comments on whether that description accurately captures COU consultations with community organizations or overlooks or understates important details.</w:t>
      </w:r>
    </w:p>
    <w:p w14:paraId="7DD88069" w14:textId="59EFE98A" w:rsidR="007C7C03" w:rsidRDefault="007C7C03" w:rsidP="006A0847">
      <w:pPr>
        <w:pStyle w:val="Heading3"/>
      </w:pPr>
      <w:r>
        <w:t>Where are these files located?</w:t>
      </w:r>
    </w:p>
    <w:p w14:paraId="5EB26B48" w14:textId="3A2956D6" w:rsidR="007C7C03" w:rsidRDefault="007C7C03" w:rsidP="007C7C03">
      <w:pPr>
        <w:pStyle w:val="Bodycopy1"/>
      </w:pPr>
      <w:r>
        <w:t xml:space="preserve">The files and documents are posted on Commerce's </w:t>
      </w:r>
      <w:hyperlink r:id="rId15" w:history="1">
        <w:r w:rsidRPr="007C7C03">
          <w:rPr>
            <w:rStyle w:val="Hyperlink"/>
          </w:rPr>
          <w:t>Energy Assistance webpage</w:t>
        </w:r>
      </w:hyperlink>
      <w:r>
        <w:t>.</w:t>
      </w:r>
    </w:p>
    <w:p w14:paraId="377ADECD" w14:textId="75C34170" w:rsidR="006A0847" w:rsidRDefault="006A0847" w:rsidP="006A0847">
      <w:pPr>
        <w:pStyle w:val="Heading3"/>
      </w:pPr>
      <w:r>
        <w:t>Submitting Comments</w:t>
      </w:r>
    </w:p>
    <w:p w14:paraId="3DCF0383" w14:textId="78542689" w:rsidR="007C7C03" w:rsidRDefault="006A0847" w:rsidP="006D6B8C">
      <w:pPr>
        <w:pStyle w:val="Bodycopy1"/>
      </w:pPr>
      <w:r>
        <w:t xml:space="preserve">Comments and any additional materials or suggested revisions should be submitted to </w:t>
      </w:r>
      <w:hyperlink r:id="rId16" w:history="1">
        <w:r w:rsidRPr="00683274">
          <w:rPr>
            <w:rStyle w:val="Hyperlink"/>
          </w:rPr>
          <w:t>austin.scharff@commerce.wa.gov</w:t>
        </w:r>
      </w:hyperlink>
    </w:p>
    <w:p w14:paraId="7D244426" w14:textId="65B19AEE" w:rsidR="007C7C03" w:rsidRPr="006D6B8C" w:rsidRDefault="007C7C03" w:rsidP="007C7C03">
      <w:pPr>
        <w:pStyle w:val="Heading3"/>
        <w:sectPr w:rsidR="007C7C03" w:rsidRPr="006D6B8C" w:rsidSect="00B25FE8">
          <w:headerReference w:type="first" r:id="rId17"/>
          <w:footerReference w:type="first" r:id="rId18"/>
          <w:type w:val="continuous"/>
          <w:pgSz w:w="12240" w:h="15840"/>
          <w:pgMar w:top="720" w:right="720" w:bottom="1440" w:left="720" w:header="360" w:footer="1181" w:gutter="0"/>
          <w:pgNumType w:start="2"/>
          <w:cols w:num="2" w:space="720"/>
          <w:titlePg/>
          <w:docGrid w:linePitch="360"/>
        </w:sectPr>
      </w:pPr>
    </w:p>
    <w:p w14:paraId="00BC4BF1" w14:textId="5EEE80FB" w:rsidR="005C3D9C" w:rsidRPr="00A60AB0" w:rsidRDefault="005C3D9C" w:rsidP="007C7C03">
      <w:pPr>
        <w:pStyle w:val="Heading1"/>
      </w:pPr>
      <w:bookmarkStart w:id="1" w:name="_Toc112748061"/>
      <w:r w:rsidRPr="00A60AB0">
        <w:lastRenderedPageBreak/>
        <w:t>Executive Summary</w:t>
      </w:r>
      <w:bookmarkEnd w:id="1"/>
    </w:p>
    <w:p w14:paraId="55646835" w14:textId="7AE381DD" w:rsidR="005C3D9C" w:rsidRPr="00A60AB0" w:rsidRDefault="009F6942" w:rsidP="009F6942">
      <w:pPr>
        <w:pStyle w:val="Bodycopy1"/>
      </w:pPr>
      <w:r>
        <w:t>Commerce will provide a draft executive summary in its second draft of the report to be shared at the Sept. 27 workshop.</w:t>
      </w:r>
    </w:p>
    <w:p w14:paraId="07FE9A5D" w14:textId="77777777" w:rsidR="005C3D9C" w:rsidRPr="00A60AB0" w:rsidRDefault="005C3D9C" w:rsidP="006D6B8C">
      <w:pPr>
        <w:pStyle w:val="Bodycopy1"/>
      </w:pPr>
      <w:r w:rsidRPr="00A60AB0">
        <w:br w:type="page"/>
      </w:r>
    </w:p>
    <w:p w14:paraId="4D74A4D8" w14:textId="77777777" w:rsidR="005C3D9C" w:rsidRPr="00A60AB0" w:rsidRDefault="005C3D9C" w:rsidP="00057B7F">
      <w:pPr>
        <w:pStyle w:val="Heading1"/>
      </w:pPr>
      <w:bookmarkStart w:id="2" w:name="_Toc112748062"/>
      <w:r w:rsidRPr="00A60AB0">
        <w:lastRenderedPageBreak/>
        <w:t>Introduction</w:t>
      </w:r>
      <w:bookmarkEnd w:id="2"/>
    </w:p>
    <w:p w14:paraId="0EE4E21D" w14:textId="77777777" w:rsidR="005C3D9C" w:rsidRPr="00A60AB0" w:rsidRDefault="005C3D9C" w:rsidP="000B7675">
      <w:pPr>
        <w:pStyle w:val="Heading2"/>
      </w:pPr>
      <w:r w:rsidRPr="00A60AB0">
        <w:t>Background</w:t>
      </w:r>
    </w:p>
    <w:p w14:paraId="7DC33EBC" w14:textId="30D3A422" w:rsidR="00845089" w:rsidRDefault="0092579B" w:rsidP="00D1327C">
      <w:pPr>
        <w:pStyle w:val="Bodycopy1"/>
      </w:pPr>
      <w:r>
        <w:t xml:space="preserve">In 2019, the Washington State Legislature </w:t>
      </w:r>
      <w:r w:rsidR="00845089">
        <w:t xml:space="preserve">enacted </w:t>
      </w:r>
      <w:hyperlink r:id="rId19" w:history="1">
        <w:r w:rsidR="00845089" w:rsidRPr="00CE169C">
          <w:rPr>
            <w:rStyle w:val="Hyperlink"/>
          </w:rPr>
          <w:t>RCW 19.405.120</w:t>
        </w:r>
      </w:hyperlink>
      <w:r w:rsidR="00845089">
        <w:t xml:space="preserve"> (Sec. 120) of Washington's 100% clean electricity law, the Clean Energy Transformation Act (CETA). Sec. 120 requires electric utilities to make programs and funding available for low-income households by July 31, 2021</w:t>
      </w:r>
      <w:r w:rsidR="00743ADB">
        <w:t>. The law requires</w:t>
      </w:r>
      <w:r w:rsidR="00F236B8">
        <w:t xml:space="preserve"> utilities to </w:t>
      </w:r>
      <w:r w:rsidR="00845089">
        <w:t>demonstrate progress in providing energy assistance pursuant to</w:t>
      </w:r>
      <w:r w:rsidR="002A02A3">
        <w:t>ward</w:t>
      </w:r>
      <w:r w:rsidR="00845089">
        <w:t xml:space="preserve"> assessment</w:t>
      </w:r>
      <w:r w:rsidR="00F236B8">
        <w:t>s</w:t>
      </w:r>
      <w:r w:rsidR="00845089">
        <w:t xml:space="preserve"> of:</w:t>
      </w:r>
    </w:p>
    <w:p w14:paraId="464AA816" w14:textId="77777777" w:rsidR="003044F6" w:rsidRDefault="003044F6" w:rsidP="003044F6">
      <w:pPr>
        <w:pStyle w:val="ListBullet"/>
      </w:pPr>
      <w:r>
        <w:t>The programs and mechanisms used by the utility to reduce energy burden and the effectiveness of those programs and mechanisms in both short-term and sustained energy burden reductions;</w:t>
      </w:r>
    </w:p>
    <w:p w14:paraId="391F1C26" w14:textId="77777777" w:rsidR="003044F6" w:rsidRDefault="003044F6" w:rsidP="003044F6">
      <w:pPr>
        <w:pStyle w:val="ListBullet"/>
      </w:pPr>
      <w:r>
        <w:t>The outreach strategies used to encourage participation of eligible households, including consultation with community-based organizations and Indian tribes as appropriate, and comprehensive enrollment campaigns that are linguistically and culturally appropriate to the customers they serve in vulnerable populations; and</w:t>
      </w:r>
    </w:p>
    <w:p w14:paraId="7987B492" w14:textId="77777777" w:rsidR="003044F6" w:rsidRDefault="003044F6" w:rsidP="003044F6">
      <w:pPr>
        <w:pStyle w:val="ListBullet"/>
      </w:pPr>
      <w:r>
        <w:t>A cumulative assessment of previous funding levels for energy assistance compared to the funding levels needed to meet: (A) Sixty percent of the current energy a</w:t>
      </w:r>
      <w:r w:rsidR="00F236B8">
        <w:t>ssistance need, or increasing e</w:t>
      </w:r>
      <w:r>
        <w:t xml:space="preserve">nergy assistance by fifteen percent over the amount provided in 2018, whichever is greater, by 2030; and (B) ninety percent of the current energy assistance need by 2050. </w:t>
      </w:r>
    </w:p>
    <w:p w14:paraId="66272BEA" w14:textId="77777777" w:rsidR="002B72E6" w:rsidRDefault="002B72E6" w:rsidP="003044F6">
      <w:pPr>
        <w:pStyle w:val="ListBullet"/>
        <w:numPr>
          <w:ilvl w:val="0"/>
          <w:numId w:val="0"/>
        </w:numPr>
      </w:pPr>
    </w:p>
    <w:p w14:paraId="07CC98FC" w14:textId="22BC27BE" w:rsidR="002B72E6" w:rsidRDefault="002B72E6" w:rsidP="002B72E6">
      <w:pPr>
        <w:pStyle w:val="ListBullet"/>
        <w:numPr>
          <w:ilvl w:val="0"/>
          <w:numId w:val="0"/>
        </w:numPr>
      </w:pPr>
      <w:r>
        <w:t>Sec. 120</w:t>
      </w:r>
      <w:r w:rsidR="00F236B8">
        <w:t xml:space="preserve"> </w:t>
      </w:r>
      <w:r w:rsidR="00743ADB">
        <w:t>mandates</w:t>
      </w:r>
      <w:r>
        <w:t xml:space="preserve"> the </w:t>
      </w:r>
      <w:r w:rsidRPr="002B72E6">
        <w:t>assess</w:t>
      </w:r>
      <w:r>
        <w:t>ment</w:t>
      </w:r>
      <w:r w:rsidR="00743ADB">
        <w:t>s</w:t>
      </w:r>
      <w:r w:rsidR="00F236B8">
        <w:t xml:space="preserve"> </w:t>
      </w:r>
      <w:r w:rsidRPr="002B72E6">
        <w:t>include a plan to improve the effectiveness of the assessed mechanisms and strategies toward meeting the energy assistance need</w:t>
      </w:r>
      <w:r>
        <w:t>.</w:t>
      </w:r>
    </w:p>
    <w:p w14:paraId="4F15C161" w14:textId="77777777" w:rsidR="002B72E6" w:rsidRDefault="002B72E6" w:rsidP="002B72E6">
      <w:pPr>
        <w:pStyle w:val="ListBullet"/>
        <w:numPr>
          <w:ilvl w:val="0"/>
          <w:numId w:val="0"/>
        </w:numPr>
      </w:pPr>
    </w:p>
    <w:p w14:paraId="10A88B2B" w14:textId="2F895935" w:rsidR="002B72E6" w:rsidRDefault="00B50172" w:rsidP="002B72E6">
      <w:pPr>
        <w:pStyle w:val="ListBullet"/>
        <w:numPr>
          <w:ilvl w:val="0"/>
          <w:numId w:val="0"/>
        </w:numPr>
      </w:pPr>
      <w:r>
        <w:t xml:space="preserve">Beginning July 31, 2020, the </w:t>
      </w:r>
      <w:r w:rsidR="002B72E6">
        <w:t>Washington State Depart</w:t>
      </w:r>
      <w:r>
        <w:t>ment of Commerce (Commerce) is required to</w:t>
      </w:r>
      <w:r w:rsidR="002B72E6" w:rsidRPr="002B72E6">
        <w:t xml:space="preserve"> collect an</w:t>
      </w:r>
      <w:r w:rsidR="00CE169C">
        <w:t xml:space="preserve">d aggregate data estimating </w:t>
      </w:r>
      <w:r w:rsidR="002B72E6" w:rsidRPr="002B72E6">
        <w:t xml:space="preserve">energy burden and energy assistance need, in order to improve </w:t>
      </w:r>
      <w:r w:rsidR="002B72E6">
        <w:t>its</w:t>
      </w:r>
      <w:r w:rsidR="002B72E6" w:rsidRPr="002B72E6">
        <w:t xml:space="preserve"> and utility efforts to serve low-income households</w:t>
      </w:r>
      <w:r w:rsidR="002B72E6">
        <w:t xml:space="preserve">. </w:t>
      </w:r>
      <w:r w:rsidR="00743ADB">
        <w:t>Commerce</w:t>
      </w:r>
      <w:r w:rsidR="002B72E6" w:rsidRPr="002B72E6">
        <w:t xml:space="preserve"> must update the aggregated data on a biennial basis, </w:t>
      </w:r>
      <w:r w:rsidR="00273E16">
        <w:t xml:space="preserve">and </w:t>
      </w:r>
      <w:r w:rsidR="002B72E6" w:rsidRPr="002B72E6">
        <w:t>make it publicly accessible on its website and, to the extent practicable, include geographic attributes</w:t>
      </w:r>
      <w:r w:rsidR="002B72E6">
        <w:t>.</w:t>
      </w:r>
    </w:p>
    <w:p w14:paraId="2CEFBDCC" w14:textId="77777777" w:rsidR="002B72E6" w:rsidRDefault="00E15879" w:rsidP="002B72E6">
      <w:pPr>
        <w:pStyle w:val="Heading2"/>
      </w:pPr>
      <w:r>
        <w:t>Legislative R</w:t>
      </w:r>
      <w:r w:rsidR="002B72E6">
        <w:t>eport Requirements</w:t>
      </w:r>
    </w:p>
    <w:p w14:paraId="04511866" w14:textId="77777777" w:rsidR="002B72E6" w:rsidRDefault="002B72E6" w:rsidP="00D1327C">
      <w:pPr>
        <w:pStyle w:val="Bodycopy1"/>
      </w:pPr>
      <w:r>
        <w:t xml:space="preserve"> Sec. 120 directs Commerce to submit a biennial report to the legislature that:</w:t>
      </w:r>
    </w:p>
    <w:p w14:paraId="3621BA00" w14:textId="77777777" w:rsidR="002B72E6" w:rsidRPr="002B72E6" w:rsidRDefault="002B72E6" w:rsidP="002B72E6">
      <w:pPr>
        <w:pStyle w:val="ListBullet"/>
      </w:pPr>
      <w:r w:rsidRPr="002B72E6">
        <w:t>Aggregates information into a statewide summary of energy assistance programs, energy burden, and energy assistance need;</w:t>
      </w:r>
    </w:p>
    <w:p w14:paraId="46E96DA3" w14:textId="77777777" w:rsidR="002B72E6" w:rsidRPr="002B72E6" w:rsidRDefault="002B72E6" w:rsidP="002B72E6">
      <w:pPr>
        <w:pStyle w:val="ListBullet"/>
      </w:pPr>
      <w:r w:rsidRPr="002B72E6">
        <w:t xml:space="preserve">Identifies and quantifies current expenditures on low-income energy assistance; </w:t>
      </w:r>
    </w:p>
    <w:p w14:paraId="041FE5AD" w14:textId="77777777" w:rsidR="002B72E6" w:rsidRPr="002B72E6" w:rsidRDefault="002B72E6" w:rsidP="002B72E6">
      <w:pPr>
        <w:pStyle w:val="ListBullet"/>
      </w:pPr>
      <w:r w:rsidRPr="002B72E6">
        <w:t>Evaluates the effectiveness of additional optimal mechanisms for energy assistance including, but not limited to, customer rates, a low-income specific discount, system benefits charg</w:t>
      </w:r>
      <w:r>
        <w:t xml:space="preserve">es, and public and private funds; and </w:t>
      </w:r>
    </w:p>
    <w:p w14:paraId="56BAE10F" w14:textId="564A3666" w:rsidR="005C3D9C" w:rsidRDefault="002B72E6" w:rsidP="00D76326">
      <w:pPr>
        <w:pStyle w:val="ListBullet"/>
      </w:pPr>
      <w:r>
        <w:t>A</w:t>
      </w:r>
      <w:r w:rsidRPr="002B72E6">
        <w:t>ssess</w:t>
      </w:r>
      <w:r>
        <w:t>es</w:t>
      </w:r>
      <w:r w:rsidRPr="002B72E6">
        <w:t xml:space="preserve"> mechanisms to prioritize energy assistance towards low-income households with a higher energy burden.</w:t>
      </w:r>
    </w:p>
    <w:p w14:paraId="7815CC48" w14:textId="225083C7" w:rsidR="0087415D" w:rsidRDefault="0087415D" w:rsidP="0087415D">
      <w:pPr>
        <w:pStyle w:val="Heading3"/>
      </w:pPr>
      <w:r>
        <w:t>Definitions</w:t>
      </w:r>
    </w:p>
    <w:p w14:paraId="5C11F4BB" w14:textId="2D5FBDEF" w:rsidR="001246B5" w:rsidRDefault="00E64597" w:rsidP="0087415D">
      <w:pPr>
        <w:pStyle w:val="Bodycopy1"/>
      </w:pPr>
      <w:hyperlink r:id="rId20" w:history="1">
        <w:r w:rsidR="00CE169C" w:rsidRPr="00CE169C">
          <w:rPr>
            <w:rStyle w:val="Hyperlink"/>
          </w:rPr>
          <w:t>RCW 19.405.020</w:t>
        </w:r>
      </w:hyperlink>
      <w:r w:rsidR="001246B5">
        <w:t xml:space="preserve"> provides the following </w:t>
      </w:r>
      <w:r w:rsidR="00041477">
        <w:t>definitions used in this report</w:t>
      </w:r>
      <w:r w:rsidR="001246B5">
        <w:t xml:space="preserve">: </w:t>
      </w:r>
    </w:p>
    <w:p w14:paraId="06EB5C4E" w14:textId="34E78723" w:rsidR="00041477" w:rsidRDefault="00041477" w:rsidP="00041477">
      <w:pPr>
        <w:pStyle w:val="Bodycopy1Indent"/>
      </w:pPr>
      <w:r w:rsidRPr="00041477">
        <w:t>(10) "</w:t>
      </w:r>
      <w:r w:rsidR="002E0A22">
        <w:t>Consumer-owned utility</w:t>
      </w:r>
      <w:r w:rsidRPr="00041477">
        <w:t>" means a municipal electric utility formed under Title </w:t>
      </w:r>
      <w:hyperlink r:id="rId21" w:history="1">
        <w:r w:rsidRPr="00041477">
          <w:rPr>
            <w:rStyle w:val="Hyperlink"/>
          </w:rPr>
          <w:t>35</w:t>
        </w:r>
      </w:hyperlink>
      <w:r w:rsidRPr="00041477">
        <w:t> RCW, a public utility district formed under Title </w:t>
      </w:r>
      <w:hyperlink r:id="rId22" w:history="1">
        <w:r w:rsidRPr="00041477">
          <w:rPr>
            <w:rStyle w:val="Hyperlink"/>
          </w:rPr>
          <w:t>54</w:t>
        </w:r>
      </w:hyperlink>
      <w:r w:rsidRPr="00041477">
        <w:t> RCW, an irrigation district formed under chapter </w:t>
      </w:r>
      <w:hyperlink r:id="rId23" w:history="1">
        <w:r w:rsidRPr="00041477">
          <w:rPr>
            <w:rStyle w:val="Hyperlink"/>
          </w:rPr>
          <w:t>87.03</w:t>
        </w:r>
      </w:hyperlink>
      <w:r w:rsidRPr="00041477">
        <w:t> RCW, a cooperative formed under chapter </w:t>
      </w:r>
      <w:hyperlink r:id="rId24" w:history="1">
        <w:r w:rsidRPr="00041477">
          <w:rPr>
            <w:rStyle w:val="Hyperlink"/>
          </w:rPr>
          <w:t>23.86</w:t>
        </w:r>
      </w:hyperlink>
      <w:r w:rsidRPr="00041477">
        <w:t> RCW, or a mutual corporation or association formed under chapter </w:t>
      </w:r>
      <w:hyperlink r:id="rId25" w:history="1">
        <w:r w:rsidRPr="00041477">
          <w:rPr>
            <w:rStyle w:val="Hyperlink"/>
          </w:rPr>
          <w:t>24.06</w:t>
        </w:r>
      </w:hyperlink>
      <w:r w:rsidRPr="00041477">
        <w:t> RCW, that is engaged in the business of distributing electricity to more than one retail electric customer in the state.</w:t>
      </w:r>
    </w:p>
    <w:p w14:paraId="4CD2D536" w14:textId="2D328A2B" w:rsidR="001246B5" w:rsidRPr="001246B5" w:rsidRDefault="001246B5" w:rsidP="001246B5">
      <w:pPr>
        <w:pStyle w:val="Bodycopy1Indent"/>
      </w:pPr>
      <w:r>
        <w:lastRenderedPageBreak/>
        <w:t>(15) "Energy assistance"</w:t>
      </w:r>
      <w:r w:rsidRPr="001246B5">
        <w:t xml:space="preserve"> means a program undertaken by a utility to reduce the household energy burden of its customers.</w:t>
      </w:r>
    </w:p>
    <w:p w14:paraId="4F4A66D6" w14:textId="77777777" w:rsidR="001246B5" w:rsidRPr="001246B5" w:rsidRDefault="001246B5" w:rsidP="001246B5">
      <w:pPr>
        <w:pStyle w:val="Bodycopy1Indent"/>
      </w:pPr>
      <w:r w:rsidRPr="001246B5">
        <w:t>(a) Energy assistance includes, but is not limited to, weatherization, conservation and efficiency services, and monetary assistance, such as a grant program or discounts for lower income households, intended to lower a household's energy burden.</w:t>
      </w:r>
    </w:p>
    <w:p w14:paraId="565D9936" w14:textId="186E893F" w:rsidR="001246B5" w:rsidRDefault="001246B5" w:rsidP="001246B5">
      <w:pPr>
        <w:pStyle w:val="Bodycopy1Indent"/>
      </w:pPr>
      <w:r w:rsidRPr="001246B5">
        <w:t>(b) Energy assistance may include direct customer ownership in distributed energy resources or other strategies if such strategies achieve a reduction in energy burden for the customer above other available conservation and demand-side measures.</w:t>
      </w:r>
    </w:p>
    <w:p w14:paraId="6393F7AC" w14:textId="4A903B1D" w:rsidR="00041477" w:rsidRDefault="00041477" w:rsidP="001246B5">
      <w:pPr>
        <w:pStyle w:val="Bodycopy1Indent"/>
      </w:pPr>
      <w:r w:rsidRPr="00041477">
        <w:t xml:space="preserve">(24) "Investor-owned utility" means a company owned by investors that meets the definition of "corporation" in </w:t>
      </w:r>
      <w:hyperlink r:id="rId26" w:history="1">
        <w:r w:rsidRPr="009F2EED">
          <w:rPr>
            <w:rStyle w:val="Hyperlink"/>
          </w:rPr>
          <w:t>RCW 80.04.010</w:t>
        </w:r>
      </w:hyperlink>
      <w:r w:rsidRPr="009F2EED">
        <w:t> and</w:t>
      </w:r>
      <w:r w:rsidRPr="00041477">
        <w:t xml:space="preserve"> is engaged in distributing electricity to more than one retail electric customer in the state.</w:t>
      </w:r>
    </w:p>
    <w:p w14:paraId="1FDBC40D" w14:textId="484816C9" w:rsidR="001246B5" w:rsidRDefault="00E64597" w:rsidP="001246B5">
      <w:pPr>
        <w:pStyle w:val="Bodycopy1"/>
      </w:pPr>
      <w:hyperlink r:id="rId27" w:history="1">
        <w:r w:rsidR="001246B5" w:rsidRPr="00EF49EA">
          <w:rPr>
            <w:rStyle w:val="Hyperlink"/>
          </w:rPr>
          <w:t>WAC 194-40-030</w:t>
        </w:r>
      </w:hyperlink>
      <w:r w:rsidR="00EF49EA">
        <w:t xml:space="preserve"> and </w:t>
      </w:r>
      <w:hyperlink r:id="rId28" w:history="1">
        <w:r w:rsidR="00EF49EA" w:rsidRPr="00EF49EA">
          <w:rPr>
            <w:rStyle w:val="Hyperlink"/>
          </w:rPr>
          <w:t>480-100-605</w:t>
        </w:r>
      </w:hyperlink>
      <w:r w:rsidR="00EF49EA">
        <w:t xml:space="preserve"> define </w:t>
      </w:r>
      <w:r w:rsidR="009F2EED">
        <w:t>"</w:t>
      </w:r>
      <w:r w:rsidR="00EF49EA">
        <w:t>energy assistance need</w:t>
      </w:r>
      <w:r w:rsidR="009F2EED">
        <w:t>"</w:t>
      </w:r>
      <w:r w:rsidR="00EF49EA">
        <w:t xml:space="preserve"> for </w:t>
      </w:r>
      <w:r w:rsidR="00FD2FB1">
        <w:t>investor-owned</w:t>
      </w:r>
      <w:r w:rsidR="00EF49EA">
        <w:t xml:space="preserve"> </w:t>
      </w:r>
      <w:r w:rsidR="00FD2FB1">
        <w:t xml:space="preserve">utilities (IOUs) </w:t>
      </w:r>
      <w:r w:rsidR="00EF49EA">
        <w:t>and</w:t>
      </w:r>
      <w:r w:rsidR="00FD2FB1">
        <w:t xml:space="preserve"> consumer-owned utilities</w:t>
      </w:r>
      <w:r w:rsidR="00EF49EA">
        <w:t xml:space="preserve"> </w:t>
      </w:r>
      <w:r w:rsidR="00FD2FB1">
        <w:t>(</w:t>
      </w:r>
      <w:r w:rsidR="002E0A22">
        <w:t>COUs</w:t>
      </w:r>
      <w:r w:rsidR="00FD2FB1">
        <w:t>)</w:t>
      </w:r>
      <w:r w:rsidR="00EF49EA">
        <w:t>:</w:t>
      </w:r>
    </w:p>
    <w:p w14:paraId="4FCF0862" w14:textId="2CB4AEE1" w:rsidR="001246B5" w:rsidRDefault="001246B5" w:rsidP="001246B5">
      <w:pPr>
        <w:pStyle w:val="Bodycopy1Indent"/>
      </w:pPr>
      <w:r w:rsidRPr="001246B5">
        <w:t>"Energy assistance need" means the amount of assistance necessary to achieve a level of household energy burden established by the department or commission.</w:t>
      </w:r>
    </w:p>
    <w:p w14:paraId="2AA5BF09" w14:textId="62D4912D" w:rsidR="00EF49EA" w:rsidRDefault="00E64597" w:rsidP="00EF49EA">
      <w:pPr>
        <w:pStyle w:val="Bodycopy1"/>
      </w:pPr>
      <w:hyperlink r:id="rId29" w:history="1">
        <w:r w:rsidR="00EF49EA" w:rsidRPr="00EF49EA">
          <w:rPr>
            <w:rStyle w:val="Hyperlink"/>
          </w:rPr>
          <w:t>WAC 194-40-030</w:t>
        </w:r>
      </w:hyperlink>
      <w:r w:rsidR="00EF49EA">
        <w:t xml:space="preserve"> provides a definition for "low-income" for </w:t>
      </w:r>
      <w:r w:rsidR="002E0A22">
        <w:t>COUs</w:t>
      </w:r>
      <w:r w:rsidR="00EF49EA">
        <w:t>:</w:t>
      </w:r>
    </w:p>
    <w:p w14:paraId="61800D2A" w14:textId="43BC6464" w:rsidR="00041477" w:rsidRPr="0087415D" w:rsidRDefault="0087415D" w:rsidP="00041477">
      <w:pPr>
        <w:pStyle w:val="Bodycopy1Indent"/>
      </w:pPr>
      <w:r w:rsidRPr="0087415D">
        <w:t xml:space="preserve">"Low-income" means household incomes that do not exceed the </w:t>
      </w:r>
      <w:proofErr w:type="gramStart"/>
      <w:r w:rsidRPr="0087415D">
        <w:t>higher</w:t>
      </w:r>
      <w:proofErr w:type="gramEnd"/>
      <w:r w:rsidRPr="0087415D">
        <w:t xml:space="preserve"> of eighty percent of area median income or two hundred percent of federal poverty level, adjusted for household size.</w:t>
      </w:r>
    </w:p>
    <w:p w14:paraId="5A58D3AA" w14:textId="675AD6A6" w:rsidR="00211519" w:rsidRDefault="00211519" w:rsidP="000C69B1">
      <w:pPr>
        <w:pStyle w:val="Heading3"/>
      </w:pPr>
      <w:r>
        <w:t xml:space="preserve">Data Collection, Aggregation, and </w:t>
      </w:r>
      <w:r w:rsidR="000314AE">
        <w:t>Review</w:t>
      </w:r>
    </w:p>
    <w:p w14:paraId="1B5EF4CE" w14:textId="77777777" w:rsidR="00546D20" w:rsidRDefault="00546D20" w:rsidP="00546D20">
      <w:pPr>
        <w:pStyle w:val="Subheading1"/>
      </w:pPr>
      <w:r>
        <w:t xml:space="preserve">2020 </w:t>
      </w:r>
      <w:r w:rsidR="00273E16">
        <w:t>Reporting Cycle</w:t>
      </w:r>
    </w:p>
    <w:p w14:paraId="24E243F3" w14:textId="5C8BE85C" w:rsidR="001811C4" w:rsidRDefault="00F236B8" w:rsidP="001811C4">
      <w:pPr>
        <w:pStyle w:val="Bodycopy1"/>
      </w:pPr>
      <w:r>
        <w:t xml:space="preserve">Commerce assembled an Energy Assistance Advisory Group </w:t>
      </w:r>
      <w:r w:rsidR="001811C4">
        <w:t xml:space="preserve">(TAG) </w:t>
      </w:r>
      <w:r>
        <w:t>in 2019 to assist in</w:t>
      </w:r>
      <w:r w:rsidR="00B12A27">
        <w:t xml:space="preserve"> the development of</w:t>
      </w:r>
      <w:r w:rsidR="001811C4">
        <w:t xml:space="preserve"> best practices and resources to implement the data collection work directed under </w:t>
      </w:r>
      <w:hyperlink r:id="rId30" w:history="1">
        <w:r w:rsidR="001811C4" w:rsidRPr="00CE169C">
          <w:rPr>
            <w:rStyle w:val="Hyperlink"/>
          </w:rPr>
          <w:t>RCW 19.405.120(3)</w:t>
        </w:r>
      </w:hyperlink>
      <w:r w:rsidR="00546D20">
        <w:t xml:space="preserve">. </w:t>
      </w:r>
      <w:r w:rsidR="001811C4">
        <w:t xml:space="preserve">The Data TAG Charter and list of members is posted on Commerce's </w:t>
      </w:r>
      <w:hyperlink r:id="rId31" w:history="1">
        <w:r w:rsidR="001811C4" w:rsidRPr="009F2EED">
          <w:rPr>
            <w:rStyle w:val="Hyperlink"/>
          </w:rPr>
          <w:t>Energy Assistance webpage</w:t>
        </w:r>
      </w:hyperlink>
      <w:r w:rsidR="001811C4">
        <w:t>.</w:t>
      </w:r>
    </w:p>
    <w:p w14:paraId="494989C9" w14:textId="58275C74" w:rsidR="00546D20" w:rsidRDefault="00546D20" w:rsidP="00211519">
      <w:pPr>
        <w:pStyle w:val="Bodycopy1"/>
      </w:pPr>
      <w:r>
        <w:t xml:space="preserve">Commerce used the </w:t>
      </w:r>
      <w:hyperlink r:id="rId32" w:history="1">
        <w:r w:rsidRPr="00CE169C">
          <w:rPr>
            <w:rStyle w:val="Hyperlink"/>
          </w:rPr>
          <w:t>Department of Energy's Low-Income Energy Affordability Data (LEAD) To</w:t>
        </w:r>
        <w:r w:rsidR="00C44470" w:rsidRPr="00CE169C">
          <w:rPr>
            <w:rStyle w:val="Hyperlink"/>
          </w:rPr>
          <w:t>ol</w:t>
        </w:r>
      </w:hyperlink>
      <w:r w:rsidR="001811C4">
        <w:t xml:space="preserve"> in combination with utility submitted data</w:t>
      </w:r>
      <w:r w:rsidR="00C44470">
        <w:t xml:space="preserve"> to inform the requirements under </w:t>
      </w:r>
      <w:hyperlink r:id="rId33" w:history="1">
        <w:r w:rsidR="00C44470" w:rsidRPr="00330EA5">
          <w:rPr>
            <w:rStyle w:val="Hyperlink"/>
          </w:rPr>
          <w:t>RCW 19.405.120(3</w:t>
        </w:r>
        <w:r w:rsidR="00EE0A4C" w:rsidRPr="00330EA5">
          <w:rPr>
            <w:rStyle w:val="Hyperlink"/>
          </w:rPr>
          <w:t>)</w:t>
        </w:r>
      </w:hyperlink>
      <w:r w:rsidR="00C44470">
        <w:t>.</w:t>
      </w:r>
      <w:r w:rsidR="001811C4">
        <w:t xml:space="preserve"> </w:t>
      </w:r>
      <w:r w:rsidR="00B50172">
        <w:t>The</w:t>
      </w:r>
      <w:r w:rsidR="00C44470">
        <w:t xml:space="preserve"> data</w:t>
      </w:r>
      <w:r w:rsidR="001811C4">
        <w:t xml:space="preserve"> was aggregated by Commerce</w:t>
      </w:r>
      <w:r w:rsidR="00EE0A4C">
        <w:t xml:space="preserve">, </w:t>
      </w:r>
      <w:r w:rsidR="00B50172">
        <w:t>shared with utilities</w:t>
      </w:r>
      <w:r w:rsidR="00C44470">
        <w:t xml:space="preserve"> and advocates</w:t>
      </w:r>
      <w:r w:rsidR="00EE0A4C">
        <w:t>, and</w:t>
      </w:r>
      <w:r w:rsidR="00B50172">
        <w:t xml:space="preserve"> </w:t>
      </w:r>
      <w:r>
        <w:t>posted on the</w:t>
      </w:r>
      <w:r w:rsidR="00B50172">
        <w:t xml:space="preserve"> </w:t>
      </w:r>
      <w:hyperlink r:id="rId34" w:history="1">
        <w:r w:rsidR="00B50172" w:rsidRPr="009F2EED">
          <w:rPr>
            <w:rStyle w:val="Hyperlink"/>
          </w:rPr>
          <w:t>CETA Energy Assistance</w:t>
        </w:r>
        <w:r w:rsidRPr="009F2EED">
          <w:rPr>
            <w:rStyle w:val="Hyperlink"/>
          </w:rPr>
          <w:t xml:space="preserve"> webpa</w:t>
        </w:r>
        <w:r w:rsidR="00B50172" w:rsidRPr="009F2EED">
          <w:rPr>
            <w:rStyle w:val="Hyperlink"/>
          </w:rPr>
          <w:t>ge</w:t>
        </w:r>
      </w:hyperlink>
      <w:r w:rsidR="00B50172">
        <w:t>.</w:t>
      </w:r>
      <w:r>
        <w:t xml:space="preserve"> </w:t>
      </w:r>
      <w:r w:rsidR="009F2EED" w:rsidRPr="009F2EED">
        <w:t xml:space="preserve">Commerce did not require utilities to complete </w:t>
      </w:r>
      <w:hyperlink r:id="rId35" w:history="1">
        <w:r w:rsidR="009F2EED" w:rsidRPr="009F2EED">
          <w:rPr>
            <w:rStyle w:val="Hyperlink"/>
          </w:rPr>
          <w:t>RCW 19.405.120(4)</w:t>
        </w:r>
      </w:hyperlink>
      <w:r w:rsidR="009F2EED" w:rsidRPr="009F2EED">
        <w:t xml:space="preserve"> during the 2020 reporting process, and instead gave utilities an additional two years to prepare for their assessments. </w:t>
      </w:r>
    </w:p>
    <w:p w14:paraId="2537D011" w14:textId="77777777" w:rsidR="00A21471" w:rsidRDefault="00546D20" w:rsidP="00546D20">
      <w:pPr>
        <w:pStyle w:val="Subheading1"/>
      </w:pPr>
      <w:r>
        <w:t xml:space="preserve">2022 </w:t>
      </w:r>
      <w:r w:rsidR="00273E16">
        <w:t>Reporting Cycle</w:t>
      </w:r>
      <w:r w:rsidR="00B50172">
        <w:t xml:space="preserve"> </w:t>
      </w:r>
    </w:p>
    <w:p w14:paraId="6935F32A" w14:textId="5B2B6B71" w:rsidR="00546D20" w:rsidRDefault="00DC5093" w:rsidP="00211519">
      <w:pPr>
        <w:pStyle w:val="Bodycopy1"/>
      </w:pPr>
      <w:r>
        <w:t>Commerce developed the 2022 reporting template with the members of the 2019</w:t>
      </w:r>
      <w:r w:rsidR="008E5456">
        <w:t xml:space="preserve"> Data TAG</w:t>
      </w:r>
      <w:r>
        <w:t xml:space="preserve"> over </w:t>
      </w:r>
      <w:r w:rsidR="008E5456">
        <w:t>the course of the spring of 2021</w:t>
      </w:r>
      <w:r>
        <w:t xml:space="preserve"> and held a public webinar to gather stakeholder feedback </w:t>
      </w:r>
      <w:r w:rsidR="009F2EED">
        <w:t>in June of 2021</w:t>
      </w:r>
      <w:r>
        <w:t>.</w:t>
      </w:r>
      <w:r w:rsidR="00EE0A4C">
        <w:t xml:space="preserve"> An outline of the report form was published six weeks after for utilities to prepare their reports. The final reporting template was published Oct. 28, 2021 with a reporting deadline of Feb. 1, 2022.  </w:t>
      </w:r>
    </w:p>
    <w:p w14:paraId="126C13D1" w14:textId="26AEBBBF" w:rsidR="00636DAF" w:rsidRDefault="00636DAF" w:rsidP="00211519">
      <w:pPr>
        <w:pStyle w:val="Bodycopy1"/>
      </w:pPr>
      <w:r>
        <w:t xml:space="preserve">In the instructions of the reporting template, Commerce requested utilities submit data for their low-income programs. Commerce welcomed utilities to report data from programs available to all customers </w:t>
      </w:r>
      <w:r w:rsidR="006A5159">
        <w:t>if</w:t>
      </w:r>
      <w:r>
        <w:t xml:space="preserve"> utilities could identify the number of low-income households and the corresponding bill reductions and expenditures </w:t>
      </w:r>
      <w:r>
        <w:lastRenderedPageBreak/>
        <w:t>associated with assisting those customers.</w:t>
      </w:r>
      <w:r w:rsidR="0087415D">
        <w:t xml:space="preserve"> Commerce asked </w:t>
      </w:r>
      <w:r w:rsidR="006A5159">
        <w:t xml:space="preserve">utilities to only </w:t>
      </w:r>
      <w:r w:rsidR="0087415D">
        <w:t>submit data for</w:t>
      </w:r>
      <w:r w:rsidR="008119AF" w:rsidRPr="008119AF">
        <w:t xml:space="preserve"> programs that include</w:t>
      </w:r>
      <w:r w:rsidR="0087415D">
        <w:t>d</w:t>
      </w:r>
      <w:r w:rsidR="008119AF" w:rsidRPr="008119AF">
        <w:t xml:space="preserve"> some amount of utility funds.</w:t>
      </w:r>
    </w:p>
    <w:p w14:paraId="07AA4C07" w14:textId="3537EE67" w:rsidR="009F2EED" w:rsidRDefault="00EE0A4C" w:rsidP="0087415D">
      <w:pPr>
        <w:pStyle w:val="Bodycopy1"/>
      </w:pPr>
      <w:r>
        <w:t>Commerce began aggregating the data throughout February and March of 2022. The agency convened a Technical Advisory T</w:t>
      </w:r>
      <w:r w:rsidR="0058094E">
        <w:t>eam to meet regularly from</w:t>
      </w:r>
      <w:r>
        <w:t xml:space="preserve"> </w:t>
      </w:r>
      <w:r w:rsidR="0058094E">
        <w:t>May through October of 2022</w:t>
      </w:r>
      <w:r>
        <w:t xml:space="preserve">. The team </w:t>
      </w:r>
      <w:r w:rsidR="0058094E">
        <w:t>provided</w:t>
      </w:r>
      <w:r>
        <w:t xml:space="preserve"> </w:t>
      </w:r>
      <w:r w:rsidRPr="00EE0A4C">
        <w:t>input on both the data and policy evaluation</w:t>
      </w:r>
      <w:r w:rsidR="0058094E">
        <w:t xml:space="preserve"> work</w:t>
      </w:r>
      <w:r w:rsidRPr="00EE0A4C">
        <w:t xml:space="preserve"> under </w:t>
      </w:r>
      <w:r w:rsidR="0087415D">
        <w:t xml:space="preserve">Sec. 120. </w:t>
      </w:r>
      <w:r w:rsidR="009F2EED">
        <w:t xml:space="preserve">The Data Team Charter and list of members is posted on Commerce's </w:t>
      </w:r>
      <w:hyperlink r:id="rId36" w:history="1">
        <w:r w:rsidR="009F2EED" w:rsidRPr="009F2EED">
          <w:rPr>
            <w:rStyle w:val="Hyperlink"/>
          </w:rPr>
          <w:t>Energy Assistance webpage</w:t>
        </w:r>
      </w:hyperlink>
      <w:r w:rsidR="009F2EED">
        <w:t>.</w:t>
      </w:r>
    </w:p>
    <w:p w14:paraId="785A2ED1" w14:textId="46781429" w:rsidR="00834790" w:rsidRDefault="00FD3C15" w:rsidP="0087415D">
      <w:pPr>
        <w:pStyle w:val="Bodycopy1"/>
      </w:pPr>
      <w:r>
        <w:t>Commerc</w:t>
      </w:r>
      <w:r w:rsidR="00636DAF">
        <w:t>e held four public workshops and two public</w:t>
      </w:r>
      <w:r w:rsidR="0087415D">
        <w:t xml:space="preserve"> comment periods throughout the summer and fall of 2022 before finalizing the report. </w:t>
      </w:r>
    </w:p>
    <w:p w14:paraId="0627C0A0" w14:textId="0B8D44FB" w:rsidR="000314AE" w:rsidRDefault="008119AF" w:rsidP="00474A1B">
      <w:pPr>
        <w:pStyle w:val="Heading2NoTOC"/>
      </w:pPr>
      <w:r>
        <w:t>Other R</w:t>
      </w:r>
      <w:r w:rsidR="000C69B1">
        <w:t>elevant Statutes</w:t>
      </w:r>
    </w:p>
    <w:p w14:paraId="3E157A90" w14:textId="51C9E95F" w:rsidR="00474A1B" w:rsidRPr="00211519" w:rsidRDefault="00474A1B" w:rsidP="00474A1B">
      <w:pPr>
        <w:pStyle w:val="Heading3"/>
      </w:pPr>
      <w:r>
        <w:t>RCW 80.28.068</w:t>
      </w:r>
      <w:r w:rsidR="00536E51">
        <w:t xml:space="preserve"> and 80.28.425</w:t>
      </w:r>
    </w:p>
    <w:p w14:paraId="590BC83E" w14:textId="4F5E31EB" w:rsidR="00474A1B" w:rsidRDefault="00474A1B" w:rsidP="00474A1B">
      <w:pPr>
        <w:pStyle w:val="Subheading1"/>
      </w:pPr>
      <w:r>
        <w:t>The</w:t>
      </w:r>
      <w:r w:rsidR="000B5786">
        <w:t xml:space="preserve"> energy assistance</w:t>
      </w:r>
      <w:r>
        <w:t xml:space="preserve"> statute</w:t>
      </w:r>
      <w:r w:rsidR="00536E51">
        <w:t>s</w:t>
      </w:r>
      <w:r>
        <w:t xml:space="preserve"> </w:t>
      </w:r>
      <w:r w:rsidR="000B5786">
        <w:t xml:space="preserve">specific to </w:t>
      </w:r>
      <w:r w:rsidR="00FD2FB1">
        <w:t>IOUs</w:t>
      </w:r>
    </w:p>
    <w:p w14:paraId="7CB3C0B6" w14:textId="451D31B8" w:rsidR="00536E51" w:rsidRDefault="009449A8" w:rsidP="00ED6889">
      <w:pPr>
        <w:pStyle w:val="Bodycopy1"/>
      </w:pPr>
      <w:r>
        <w:t>I</w:t>
      </w:r>
      <w:r w:rsidR="001A4E97">
        <w:t>n 2021</w:t>
      </w:r>
      <w:r>
        <w:t xml:space="preserve">, the Legislature passed </w:t>
      </w:r>
      <w:hyperlink r:id="rId37" w:history="1">
        <w:r w:rsidR="001A4E97" w:rsidRPr="00DD0712">
          <w:rPr>
            <w:rStyle w:val="Hyperlink"/>
          </w:rPr>
          <w:t>SB 5295</w:t>
        </w:r>
      </w:hyperlink>
      <w:r w:rsidR="001A4E97">
        <w:t xml:space="preserve"> that set new require</w:t>
      </w:r>
      <w:r w:rsidR="002E0A22">
        <w:t>ments for IOU</w:t>
      </w:r>
      <w:r w:rsidR="001A4E97">
        <w:t xml:space="preserve"> energy</w:t>
      </w:r>
      <w:r w:rsidR="000C4757">
        <w:t xml:space="preserve"> assistance</w:t>
      </w:r>
      <w:r w:rsidR="001A4E97">
        <w:t xml:space="preserve"> programs</w:t>
      </w:r>
      <w:r w:rsidR="00ED6889">
        <w:t>.</w:t>
      </w:r>
      <w:r w:rsidR="00536E51">
        <w:t xml:space="preserve"> It created two sections of law related to energy assistance.</w:t>
      </w:r>
      <w:r w:rsidR="00ED6889">
        <w:t xml:space="preserve"> </w:t>
      </w:r>
    </w:p>
    <w:p w14:paraId="7E321156" w14:textId="060A2EBB" w:rsidR="00536E51" w:rsidRPr="00536E51" w:rsidRDefault="00536E51" w:rsidP="00536E51">
      <w:pPr>
        <w:pStyle w:val="Subheading1"/>
      </w:pPr>
      <w:r>
        <w:t xml:space="preserve">RCW 80.28.068: The program design, </w:t>
      </w:r>
      <w:r w:rsidR="0009196E">
        <w:t xml:space="preserve">eligibility, </w:t>
      </w:r>
      <w:r>
        <w:t>outreach, and enrollment statute</w:t>
      </w:r>
      <w:r w:rsidR="002E0A22">
        <w:t xml:space="preserve"> for IOUs</w:t>
      </w:r>
    </w:p>
    <w:p w14:paraId="41FA4448" w14:textId="52E5BBD4" w:rsidR="009449A8" w:rsidRDefault="00E64597" w:rsidP="00ED6889">
      <w:pPr>
        <w:pStyle w:val="Bodycopy1"/>
      </w:pPr>
      <w:hyperlink r:id="rId38" w:history="1">
        <w:r w:rsidR="00536E51" w:rsidRPr="00536E51">
          <w:rPr>
            <w:rStyle w:val="Hyperlink"/>
          </w:rPr>
          <w:t>RCW 80.28.068</w:t>
        </w:r>
      </w:hyperlink>
      <w:r w:rsidR="00834790">
        <w:t xml:space="preserve"> requires</w:t>
      </w:r>
      <w:r w:rsidR="00ED6889">
        <w:t xml:space="preserve"> </w:t>
      </w:r>
      <w:r w:rsidR="002E0A22">
        <w:t>IOUs</w:t>
      </w:r>
      <w:r w:rsidR="00ED6889">
        <w:t xml:space="preserve"> to:</w:t>
      </w:r>
    </w:p>
    <w:p w14:paraId="2AA1E5B2" w14:textId="3AF33F83" w:rsidR="00ED6889" w:rsidRDefault="00627940" w:rsidP="00ED6889">
      <w:pPr>
        <w:pStyle w:val="ListBullet"/>
      </w:pPr>
      <w:r>
        <w:t>P</w:t>
      </w:r>
      <w:r w:rsidRPr="00627940">
        <w:t>ropose a low-income assistance program comprised of a discount rate for low-income senior customers and low-income customers as well as grants and other low-income assistance programs</w:t>
      </w:r>
      <w:r w:rsidR="009F2EED">
        <w:t>.</w:t>
      </w:r>
    </w:p>
    <w:p w14:paraId="7D2F2F87" w14:textId="77777777" w:rsidR="00ED6889" w:rsidRDefault="00ED6889" w:rsidP="00ED6889">
      <w:pPr>
        <w:pStyle w:val="ListBullet"/>
        <w:numPr>
          <w:ilvl w:val="0"/>
          <w:numId w:val="0"/>
        </w:numPr>
        <w:ind w:left="360" w:hanging="360"/>
      </w:pPr>
    </w:p>
    <w:p w14:paraId="44129FD5" w14:textId="22568094" w:rsidR="00ED6889" w:rsidRDefault="00627940" w:rsidP="00ED6889">
      <w:pPr>
        <w:pStyle w:val="ListBullet"/>
      </w:pPr>
      <w:r>
        <w:t>Make</w:t>
      </w:r>
      <w:r w:rsidRPr="00627940">
        <w:t xml:space="preserve"> reasonable and good faith efforts to seek approval for low-income program design, eligibility, operation, outreach, and funding proposals from its low-income and equity advisory groups in advance of filing such</w:t>
      </w:r>
      <w:r w:rsidR="00ED6889">
        <w:t xml:space="preserve"> proposals with the commission</w:t>
      </w:r>
      <w:r w:rsidR="009F2EED">
        <w:t>.</w:t>
      </w:r>
    </w:p>
    <w:p w14:paraId="47D1C8F2" w14:textId="77777777" w:rsidR="00ED6889" w:rsidRDefault="00ED6889" w:rsidP="00ED6889">
      <w:pPr>
        <w:pStyle w:val="ListBullet"/>
        <w:numPr>
          <w:ilvl w:val="0"/>
          <w:numId w:val="0"/>
        </w:numPr>
        <w:ind w:left="360"/>
      </w:pPr>
    </w:p>
    <w:p w14:paraId="1976BB64" w14:textId="236E83C4" w:rsidR="00627940" w:rsidRDefault="00627940" w:rsidP="00ED6889">
      <w:pPr>
        <w:pStyle w:val="ListBullet"/>
      </w:pPr>
      <w:r>
        <w:t>Provide l</w:t>
      </w:r>
      <w:r w:rsidRPr="00627940">
        <w:t>ow-income discounts or gr</w:t>
      </w:r>
      <w:r>
        <w:t>ants</w:t>
      </w:r>
      <w:r w:rsidRPr="00627940">
        <w:t xml:space="preserve"> in coordination with community-based organizations in the company's service territory including, but not limited to, grantees</w:t>
      </w:r>
      <w:r>
        <w:t xml:space="preserve"> of the Department of Commerce, </w:t>
      </w:r>
      <w:r w:rsidRPr="00627940">
        <w:t>community action agencies, and community-</w:t>
      </w:r>
      <w:r>
        <w:t>based nonprofit organizations</w:t>
      </w:r>
      <w:r w:rsidR="00ED6889">
        <w:t>; and</w:t>
      </w:r>
    </w:p>
    <w:p w14:paraId="4EFBF024" w14:textId="77777777" w:rsidR="00ED6889" w:rsidRDefault="00ED6889" w:rsidP="00ED6889">
      <w:pPr>
        <w:pStyle w:val="ListBullet"/>
        <w:numPr>
          <w:ilvl w:val="0"/>
          <w:numId w:val="0"/>
        </w:numPr>
        <w:ind w:left="360"/>
      </w:pPr>
    </w:p>
    <w:p w14:paraId="7AFFB701" w14:textId="1D517020" w:rsidR="00627940" w:rsidRDefault="000B5786" w:rsidP="00627940">
      <w:pPr>
        <w:pStyle w:val="ListBullet"/>
      </w:pPr>
      <w:r>
        <w:t>C</w:t>
      </w:r>
      <w:r w:rsidR="00627940" w:rsidRPr="00627940">
        <w:t>onduct substantial outreach efforts to make the low-income discounts or grants available to eligible customers and must provide annual reports to the commission as to the gas or electrical company's outreach activities and results</w:t>
      </w:r>
      <w:r w:rsidR="009F2EED">
        <w:t>.</w:t>
      </w:r>
    </w:p>
    <w:p w14:paraId="5D728867" w14:textId="2F721C6F" w:rsidR="00ED6889" w:rsidRDefault="00ED6889" w:rsidP="00ED6889">
      <w:pPr>
        <w:pStyle w:val="ListBullet"/>
        <w:numPr>
          <w:ilvl w:val="0"/>
          <w:numId w:val="0"/>
        </w:numPr>
        <w:ind w:left="360" w:hanging="360"/>
      </w:pPr>
    </w:p>
    <w:p w14:paraId="47B9A53E" w14:textId="53AFB4EA" w:rsidR="00ED6889" w:rsidRDefault="00ED6889" w:rsidP="00ED6889">
      <w:pPr>
        <w:pStyle w:val="ListBullet"/>
        <w:numPr>
          <w:ilvl w:val="0"/>
          <w:numId w:val="0"/>
        </w:numPr>
        <w:ind w:left="360" w:hanging="360"/>
      </w:pPr>
      <w:r>
        <w:t xml:space="preserve">The </w:t>
      </w:r>
      <w:r w:rsidR="00536E51">
        <w:t>statute</w:t>
      </w:r>
      <w:r>
        <w:t xml:space="preserve"> further provided </w:t>
      </w:r>
      <w:r w:rsidR="002E0A22">
        <w:t>IOUs</w:t>
      </w:r>
      <w:r>
        <w:t xml:space="preserve"> the authority to:</w:t>
      </w:r>
    </w:p>
    <w:p w14:paraId="3F1C8CBC" w14:textId="77777777" w:rsidR="000B5786" w:rsidRDefault="000B5786" w:rsidP="000B5786">
      <w:pPr>
        <w:pStyle w:val="ListBullet"/>
        <w:numPr>
          <w:ilvl w:val="0"/>
          <w:numId w:val="0"/>
        </w:numPr>
      </w:pPr>
    </w:p>
    <w:p w14:paraId="51C19B49" w14:textId="2FDC531B" w:rsidR="00ED6889" w:rsidRDefault="00ED6889" w:rsidP="00ED6889">
      <w:pPr>
        <w:pStyle w:val="ListBullet"/>
      </w:pPr>
      <w:r>
        <w:t>Establish eligibility u</w:t>
      </w:r>
      <w:r w:rsidRPr="00ED6889">
        <w:t>pon verification of a low-income customer's receipt of any means-tested public benefit, or verification of eligibility for the low-income home energy assistance program, or its successor program, for which eligibility does not exceed the low-income definition set by</w:t>
      </w:r>
      <w:r>
        <w:t xml:space="preserve"> the commission pursuant to RCW</w:t>
      </w:r>
      <w:r w:rsidRPr="00ED6889">
        <w:t> </w:t>
      </w:r>
      <w:hyperlink r:id="rId39" w:history="1">
        <w:r w:rsidRPr="00ED6889">
          <w:rPr>
            <w:rStyle w:val="Hyperlink"/>
          </w:rPr>
          <w:t>19.405.020</w:t>
        </w:r>
      </w:hyperlink>
      <w:r>
        <w:t>; and,</w:t>
      </w:r>
    </w:p>
    <w:p w14:paraId="3DE1E687" w14:textId="77777777" w:rsidR="00ED6889" w:rsidRPr="000B5786" w:rsidRDefault="00ED6889" w:rsidP="00ED6889">
      <w:pPr>
        <w:pStyle w:val="ListBullet"/>
        <w:numPr>
          <w:ilvl w:val="0"/>
          <w:numId w:val="0"/>
        </w:numPr>
        <w:ind w:left="360"/>
      </w:pPr>
    </w:p>
    <w:p w14:paraId="5E83C156" w14:textId="54716944" w:rsidR="00915030" w:rsidRDefault="00ED6889" w:rsidP="00915030">
      <w:pPr>
        <w:pStyle w:val="ListBullet"/>
      </w:pPr>
      <w:r>
        <w:t>Establish</w:t>
      </w:r>
      <w:r w:rsidR="000B5786" w:rsidRPr="000B5786">
        <w:t xml:space="preserve"> an automated program of matching customer accounts with lists of recipients of the means-tested public benefit programs and, based on the results of the matching program, to presumptively offer a low-income discount rate or grant to eligible customers so identified. However, the gas or electrical company must within 60 days of the presumptive enrollment inform such a low-income customer of the </w:t>
      </w:r>
      <w:r w:rsidR="000B5786" w:rsidRPr="000B5786">
        <w:lastRenderedPageBreak/>
        <w:t>presumptive enrollment and all rights and obligations of a customer under the program, including the right to withdraw from the program without penalty.</w:t>
      </w:r>
    </w:p>
    <w:p w14:paraId="1DE02A3A" w14:textId="77777777" w:rsidR="009F2EED" w:rsidRDefault="009F2EED" w:rsidP="009F2EED">
      <w:pPr>
        <w:pStyle w:val="ListBullet"/>
        <w:numPr>
          <w:ilvl w:val="0"/>
          <w:numId w:val="0"/>
        </w:numPr>
        <w:ind w:left="360"/>
      </w:pPr>
    </w:p>
    <w:p w14:paraId="402D4DB1" w14:textId="5E542E5E" w:rsidR="00ED6889" w:rsidRDefault="00ED6889" w:rsidP="00915030">
      <w:pPr>
        <w:pStyle w:val="ListBullet"/>
        <w:numPr>
          <w:ilvl w:val="0"/>
          <w:numId w:val="0"/>
        </w:numPr>
      </w:pPr>
      <w:r>
        <w:t>Finally, it stipulated:</w:t>
      </w:r>
    </w:p>
    <w:p w14:paraId="2086837D" w14:textId="77777777" w:rsidR="00ED6889" w:rsidRPr="000B5786" w:rsidRDefault="00ED6889" w:rsidP="00ED6889">
      <w:pPr>
        <w:pStyle w:val="ListBullet"/>
        <w:numPr>
          <w:ilvl w:val="0"/>
          <w:numId w:val="0"/>
        </w:numPr>
      </w:pPr>
    </w:p>
    <w:p w14:paraId="3FDFFCF4" w14:textId="0B9F869B" w:rsidR="000B5786" w:rsidRDefault="000B5786" w:rsidP="000B5786">
      <w:pPr>
        <w:pStyle w:val="ListBullet"/>
      </w:pPr>
      <w:r w:rsidRPr="000B5786">
        <w:t>A residential customer eligible for a low-income discount rate must receive the service on demand.</w:t>
      </w:r>
    </w:p>
    <w:p w14:paraId="01FBA4B4" w14:textId="77777777" w:rsidR="00ED6889" w:rsidRPr="000B5786" w:rsidRDefault="00ED6889" w:rsidP="00ED6889">
      <w:pPr>
        <w:pStyle w:val="ListBullet"/>
        <w:numPr>
          <w:ilvl w:val="0"/>
          <w:numId w:val="0"/>
        </w:numPr>
        <w:ind w:left="360"/>
      </w:pPr>
    </w:p>
    <w:p w14:paraId="35173760" w14:textId="29CDD2DA" w:rsidR="000B5786" w:rsidRDefault="000B5786" w:rsidP="008119AF">
      <w:pPr>
        <w:pStyle w:val="ListBullet"/>
      </w:pPr>
      <w:r w:rsidRPr="000B5786">
        <w:t>A residential customer may not be charged for initiating or terminating low-income discount rates, grants, or any other form of energy assistance.</w:t>
      </w:r>
    </w:p>
    <w:p w14:paraId="581EAD9D" w14:textId="6702F874" w:rsidR="00536E51" w:rsidRDefault="00536E51" w:rsidP="00536E51">
      <w:pPr>
        <w:pStyle w:val="ListBullet"/>
        <w:numPr>
          <w:ilvl w:val="0"/>
          <w:numId w:val="0"/>
        </w:numPr>
        <w:ind w:left="360" w:hanging="360"/>
      </w:pPr>
    </w:p>
    <w:p w14:paraId="1C7A9DCD" w14:textId="7EE5E23D" w:rsidR="006F73F5" w:rsidRDefault="006F73F5" w:rsidP="006F73F5">
      <w:pPr>
        <w:pStyle w:val="Subheading1"/>
      </w:pPr>
      <w:r>
        <w:t>RCW 80.28.425: The 5% rate modification statute</w:t>
      </w:r>
      <w:r w:rsidR="009F2EED">
        <w:t xml:space="preserve"> for IOUs</w:t>
      </w:r>
    </w:p>
    <w:p w14:paraId="78026489" w14:textId="5434C65E" w:rsidR="00536E51" w:rsidRDefault="00E64597" w:rsidP="006F73F5">
      <w:pPr>
        <w:pStyle w:val="Bodycopy1"/>
      </w:pPr>
      <w:hyperlink r:id="rId40" w:history="1">
        <w:r w:rsidR="006F73F5" w:rsidRPr="009F2EED">
          <w:rPr>
            <w:rStyle w:val="Hyperlink"/>
          </w:rPr>
          <w:t>RCW 80.28.425</w:t>
        </w:r>
      </w:hyperlink>
      <w:r w:rsidR="006F73F5">
        <w:t xml:space="preserve"> permits the Utilities and Transportation Commission</w:t>
      </w:r>
      <w:r w:rsidR="009F2EED">
        <w:t xml:space="preserve"> (UTC)</w:t>
      </w:r>
      <w:r w:rsidR="006F73F5">
        <w:t xml:space="preserve"> to </w:t>
      </w:r>
      <w:r w:rsidR="004A3AB9">
        <w:t>approve, disapprove, or approve with modifications:</w:t>
      </w:r>
    </w:p>
    <w:p w14:paraId="6E15A6DF" w14:textId="0D7D36EE" w:rsidR="00536E51" w:rsidRPr="00627940" w:rsidRDefault="004A3AB9" w:rsidP="004A3AB9">
      <w:pPr>
        <w:pStyle w:val="Bodycopy1Indent"/>
      </w:pPr>
      <w:r w:rsidRPr="004A3AB9">
        <w:t>Any proposal to recover from ratepayers up to five percent of the total revenue requirement for each year of a multiyear rate plan for tariffs that reduce the energy burden of low-income residential customers including, but not limited to: (a) bill assistance programs; or (b) one or more special rates. For any multiyear rate plan approved under this section resulting in a rate increase, the commission must approve an increase in the amount of low-income bill assistance to take effect in each year of the rate plan where there is a rate increase. At a minimum, the amount of such low-income assistance increase must be equal to double the percentage increase, if any, in the residential base rates approved for each year of the rate plan. The commission may approve a larger increase to low-income bill assistance based on an appropriate record.</w:t>
      </w:r>
    </w:p>
    <w:p w14:paraId="56B424D5" w14:textId="77777777" w:rsidR="00474A1B" w:rsidRDefault="00474A1B" w:rsidP="00474A1B">
      <w:pPr>
        <w:pStyle w:val="Heading3"/>
      </w:pPr>
      <w:r w:rsidRPr="00474A1B">
        <w:t>RCW 74.38.070</w:t>
      </w:r>
    </w:p>
    <w:p w14:paraId="5A5E992D" w14:textId="0194C8D7" w:rsidR="00C17B80" w:rsidRDefault="00474A1B" w:rsidP="00474A1B">
      <w:pPr>
        <w:pStyle w:val="Subheading1"/>
      </w:pPr>
      <w:r>
        <w:t xml:space="preserve">The </w:t>
      </w:r>
      <w:r w:rsidR="000B5786">
        <w:t>energy assistance statute specific to</w:t>
      </w:r>
      <w:r>
        <w:t xml:space="preserve"> </w:t>
      </w:r>
      <w:r w:rsidR="00D03061">
        <w:t>local governments</w:t>
      </w:r>
    </w:p>
    <w:p w14:paraId="26391686" w14:textId="06C818FC" w:rsidR="004A3AB9" w:rsidRDefault="0076264F" w:rsidP="004A3AB9">
      <w:pPr>
        <w:pStyle w:val="Bodycopy1"/>
      </w:pPr>
      <w:r>
        <w:t>Public utility districts and municipalities</w:t>
      </w:r>
      <w:r w:rsidR="00D03061">
        <w:t xml:space="preserve"> are permitted to provide services at reduced rates for low-income senior citizens or other low-income citizens</w:t>
      </w:r>
      <w:r>
        <w:t xml:space="preserve"> under </w:t>
      </w:r>
      <w:hyperlink r:id="rId41" w:history="1">
        <w:r w:rsidRPr="00330EA5">
          <w:rPr>
            <w:rStyle w:val="Hyperlink"/>
          </w:rPr>
          <w:t>RCW 74.38.070</w:t>
        </w:r>
      </w:hyperlink>
      <w:r>
        <w:t>. The law</w:t>
      </w:r>
      <w:r w:rsidR="00834790">
        <w:t xml:space="preserve"> requires any </w:t>
      </w:r>
      <w:r w:rsidR="00D03061" w:rsidRPr="00D03061">
        <w:t xml:space="preserve">reduction in rates granted in </w:t>
      </w:r>
      <w:r w:rsidR="00330EA5">
        <w:t xml:space="preserve">any </w:t>
      </w:r>
      <w:r w:rsidR="00D03061" w:rsidRPr="00D03061">
        <w:t xml:space="preserve">manner to low-income senior citizens or other low-income citizens be uniformly extended to low-income senior citizens </w:t>
      </w:r>
      <w:r w:rsidR="00834790">
        <w:t>or other low-income citizens in</w:t>
      </w:r>
      <w:r w:rsidR="00D03061" w:rsidRPr="00D03061">
        <w:t xml:space="preserve"> the service area.</w:t>
      </w:r>
      <w:r w:rsidR="00834790">
        <w:rPr>
          <w:rStyle w:val="FootnoteReference"/>
        </w:rPr>
        <w:footnoteReference w:id="1"/>
      </w:r>
      <w:r w:rsidR="00330EA5">
        <w:t xml:space="preserve"> The </w:t>
      </w:r>
      <w:r>
        <w:t>statute</w:t>
      </w:r>
      <w:r w:rsidR="00834790">
        <w:t xml:space="preserve"> originated in 1979 and </w:t>
      </w:r>
      <w:r>
        <w:t>originally referenced only low-income senior</w:t>
      </w:r>
      <w:r w:rsidR="00330EA5">
        <w:t>s</w:t>
      </w:r>
      <w:r>
        <w:t xml:space="preserve">. Low-income disabled citizens were added to the statute in 1988. The statute received its last significant revision in 1998, </w:t>
      </w:r>
      <w:r w:rsidR="00B56B79">
        <w:t>when the law was broadened to include all low-income citizens</w:t>
      </w:r>
      <w:r>
        <w:t xml:space="preserve">. </w:t>
      </w:r>
      <w:r w:rsidR="00B56B79">
        <w:t>The data in this report shows that as of 202</w:t>
      </w:r>
      <w:r w:rsidR="00FD3C15">
        <w:t>2</w:t>
      </w:r>
      <w:r w:rsidR="00B56B79">
        <w:t xml:space="preserve"> the majority of public utility districts maintain utility funded low-income programs available only to low-income seniors or low-income disabled citizens.</w:t>
      </w:r>
      <w:r w:rsidR="009F2EED">
        <w:rPr>
          <w:rStyle w:val="FootnoteReference"/>
        </w:rPr>
        <w:footnoteReference w:id="2"/>
      </w:r>
      <w:r w:rsidR="00B56B79">
        <w:t xml:space="preserve"> </w:t>
      </w:r>
      <w:r>
        <w:t xml:space="preserve">  </w:t>
      </w:r>
    </w:p>
    <w:p w14:paraId="669B1DA3" w14:textId="79D26494" w:rsidR="004A3AB9" w:rsidRDefault="004A3AB9" w:rsidP="004A3AB9">
      <w:pPr>
        <w:pStyle w:val="Bodycopy1"/>
      </w:pPr>
    </w:p>
    <w:p w14:paraId="17698DA9" w14:textId="2EAD6FD0" w:rsidR="00915030" w:rsidRDefault="00915030" w:rsidP="004A3AB9">
      <w:pPr>
        <w:pStyle w:val="Bodycopy1"/>
      </w:pPr>
    </w:p>
    <w:p w14:paraId="4EA74119" w14:textId="77777777" w:rsidR="00915030" w:rsidRDefault="00915030" w:rsidP="004A3AB9">
      <w:pPr>
        <w:pStyle w:val="Bodycopy1"/>
      </w:pPr>
    </w:p>
    <w:p w14:paraId="5BE2C8C7" w14:textId="77777777" w:rsidR="004A3AB9" w:rsidRDefault="004A3AB9" w:rsidP="004A3AB9">
      <w:pPr>
        <w:pStyle w:val="Bodycopy1"/>
      </w:pPr>
    </w:p>
    <w:p w14:paraId="0DAF2A1D" w14:textId="1ED681AA" w:rsidR="005C3D9C" w:rsidRPr="00A60AB0" w:rsidRDefault="000314AE" w:rsidP="00057B7F">
      <w:pPr>
        <w:pStyle w:val="Heading1"/>
      </w:pPr>
      <w:bookmarkStart w:id="3" w:name="_Toc112748063"/>
      <w:r>
        <w:lastRenderedPageBreak/>
        <w:t>Energy Burden and Assistance Need</w:t>
      </w:r>
      <w:bookmarkEnd w:id="3"/>
    </w:p>
    <w:p w14:paraId="03245264" w14:textId="69822FC8" w:rsidR="009F2EED" w:rsidRDefault="000314AE" w:rsidP="009F2EED">
      <w:pPr>
        <w:pStyle w:val="Heading2"/>
      </w:pPr>
      <w:r>
        <w:t>Data from the Low-Income Energy Affordability Data (LEAD) Tool</w:t>
      </w:r>
    </w:p>
    <w:p w14:paraId="3A4F4FC5" w14:textId="65979462" w:rsidR="00732D68" w:rsidRDefault="00732D68" w:rsidP="00515787">
      <w:pPr>
        <w:pStyle w:val="Bodycopy1"/>
      </w:pPr>
      <w:r>
        <w:t>Sec. 120 requires Commerce to</w:t>
      </w:r>
      <w:r w:rsidRPr="00732D68">
        <w:t xml:space="preserve"> collect and aggregate data estimating the energy burden and energy assistance need and reported energy assistance for each electric utility, in order to improve agency and utility efforts to serve low-income households with energy assistance.</w:t>
      </w:r>
      <w:r>
        <w:t xml:space="preserve"> T</w:t>
      </w:r>
      <w:r w:rsidRPr="00732D68">
        <w:t>he aggregated data published by the department must include, but is not limited to</w:t>
      </w:r>
      <w:r>
        <w:t>:</w:t>
      </w:r>
    </w:p>
    <w:p w14:paraId="5A805E53" w14:textId="2B0CF853" w:rsidR="00732D68" w:rsidRPr="00732D68" w:rsidRDefault="00732D68" w:rsidP="00732D68">
      <w:pPr>
        <w:pStyle w:val="ListBullet"/>
      </w:pPr>
      <w:r w:rsidRPr="00732D68">
        <w:t>The estimated number and demographic characteristics of households served by energy assistance for each utility and the dollar value of the assistance;</w:t>
      </w:r>
    </w:p>
    <w:p w14:paraId="09AF7910" w14:textId="7E67D5B4" w:rsidR="00732D68" w:rsidRPr="00732D68" w:rsidRDefault="00732D68" w:rsidP="00732D68">
      <w:pPr>
        <w:pStyle w:val="ListBullet"/>
      </w:pPr>
      <w:r w:rsidRPr="00732D68">
        <w:t>The estimated level of energy burden and energy assistance need among customers served, accounting for household income and other drivers of energy burden;</w:t>
      </w:r>
    </w:p>
    <w:p w14:paraId="2BC4054C" w14:textId="280ECFAC" w:rsidR="00732D68" w:rsidRPr="00732D68" w:rsidRDefault="00732D68" w:rsidP="00732D68">
      <w:pPr>
        <w:pStyle w:val="ListBullet"/>
      </w:pPr>
      <w:r w:rsidRPr="00732D68">
        <w:t>Housing characteristics including housing type, home vintage, and fuel types; and</w:t>
      </w:r>
    </w:p>
    <w:p w14:paraId="7F1551B1" w14:textId="5E7D20DF" w:rsidR="00732D68" w:rsidRDefault="00732D68" w:rsidP="00732D68">
      <w:pPr>
        <w:pStyle w:val="ListBullet"/>
      </w:pPr>
      <w:r w:rsidRPr="00732D68">
        <w:t>Energy efficiency potential.</w:t>
      </w:r>
    </w:p>
    <w:p w14:paraId="0162F26B" w14:textId="601A1754" w:rsidR="004C1D96" w:rsidRDefault="004C1D96" w:rsidP="004C1D96">
      <w:pPr>
        <w:pStyle w:val="ListBullet"/>
        <w:numPr>
          <w:ilvl w:val="0"/>
          <w:numId w:val="0"/>
        </w:numPr>
        <w:ind w:left="360" w:hanging="360"/>
      </w:pPr>
    </w:p>
    <w:p w14:paraId="00DAF5F8" w14:textId="2D1E8759" w:rsidR="004C1D96" w:rsidRPr="004C1D96" w:rsidRDefault="004C1D96" w:rsidP="004C1D96">
      <w:pPr>
        <w:pStyle w:val="ListBullet"/>
        <w:numPr>
          <w:ilvl w:val="0"/>
          <w:numId w:val="0"/>
        </w:numPr>
      </w:pPr>
      <w:r w:rsidRPr="004C1D96">
        <w:t>Each utility must disclose information to the department for use under this subsection, including:</w:t>
      </w:r>
    </w:p>
    <w:p w14:paraId="6B1AEBFB" w14:textId="0E86868A" w:rsidR="004C1D96" w:rsidRPr="004C1D96" w:rsidRDefault="004C1D96" w:rsidP="004C1D96">
      <w:pPr>
        <w:pStyle w:val="ListBullet"/>
      </w:pPr>
      <w:r w:rsidRPr="004C1D96">
        <w:t>The amount and type of energy assistance and the number and type of households, if applicable, served for programs administered by the utility;</w:t>
      </w:r>
    </w:p>
    <w:p w14:paraId="7CDF5429" w14:textId="77777777" w:rsidR="004C1D96" w:rsidRDefault="004C1D96" w:rsidP="004C1D96">
      <w:pPr>
        <w:pStyle w:val="ListBullet"/>
      </w:pPr>
      <w:r w:rsidRPr="004C1D96">
        <w:t>The amount of money passed through to third parties that administer energy assistance programs; and</w:t>
      </w:r>
    </w:p>
    <w:p w14:paraId="63FDD22C" w14:textId="55D8E53E" w:rsidR="004C1D96" w:rsidRDefault="004C1D96" w:rsidP="004C1D96">
      <w:pPr>
        <w:pStyle w:val="ListBullet"/>
      </w:pPr>
      <w:r w:rsidRPr="004C1D96">
        <w:t>Subject to availability, any other information related to the utility's low-income assistance programs that is requested by the department.</w:t>
      </w:r>
    </w:p>
    <w:p w14:paraId="3B6E841C" w14:textId="4B587F7C" w:rsidR="004C1D96" w:rsidRDefault="00732D68" w:rsidP="00515787">
      <w:pPr>
        <w:pStyle w:val="Bodycopy1"/>
      </w:pPr>
      <w:r>
        <w:t>C</w:t>
      </w:r>
      <w:r w:rsidR="004C1D96">
        <w:t>ommerce uses the</w:t>
      </w:r>
      <w:r>
        <w:t xml:space="preserve"> Low-Income </w:t>
      </w:r>
      <w:r w:rsidR="004C1D96">
        <w:t xml:space="preserve">Energy Affordability Data (LEAD) Tool to report data </w:t>
      </w:r>
      <w:r w:rsidR="00E043DA">
        <w:t xml:space="preserve">on </w:t>
      </w:r>
      <w:r w:rsidR="004C1D96">
        <w:t>household demograp</w:t>
      </w:r>
      <w:r w:rsidR="00E043DA">
        <w:t xml:space="preserve">hics </w:t>
      </w:r>
      <w:r w:rsidR="004C1D96">
        <w:t xml:space="preserve">and average annual excess burden per household statewide and at the county level. </w:t>
      </w:r>
    </w:p>
    <w:p w14:paraId="23F7251B" w14:textId="1C05DCDE" w:rsidR="004C1D96" w:rsidRDefault="004C1D96" w:rsidP="00515787">
      <w:pPr>
        <w:pStyle w:val="Bodycopy1"/>
      </w:pPr>
      <w:r>
        <w:t xml:space="preserve">The LEAD Tool </w:t>
      </w:r>
      <w:r w:rsidR="009F2EED">
        <w:t>w</w:t>
      </w:r>
      <w:r>
        <w:t xml:space="preserve">as developed by the </w:t>
      </w:r>
      <w:r w:rsidR="00BE3139">
        <w:t xml:space="preserve">U.S. </w:t>
      </w:r>
      <w:r>
        <w:t>Department of Energy</w:t>
      </w:r>
      <w:r w:rsidR="00BE3139">
        <w:t xml:space="preserve"> (DOE)</w:t>
      </w:r>
      <w:r>
        <w:t xml:space="preserve"> and National Renewable Energy Lab </w:t>
      </w:r>
      <w:r w:rsidR="00BE3139">
        <w:t xml:space="preserve">(NREL) </w:t>
      </w:r>
      <w:r>
        <w:t xml:space="preserve">as part of the Clean Energy for Low-Income Communities Accelerator (CELICA), a U.S. Department of Energy Better Buildings Initiative Accelerator, aimed to lower energy bills for low-income communities through a two-year voluntary partnership between DOE and state and local governments. Originally a set of Excel spreadsheets, the Tool was so widely used that DOE and </w:t>
      </w:r>
      <w:r w:rsidR="00BE3139">
        <w:t>NREL</w:t>
      </w:r>
      <w:r>
        <w:t xml:space="preserve"> developed it into a web-based platform. </w:t>
      </w:r>
    </w:p>
    <w:p w14:paraId="3F49C3C3" w14:textId="2163C6EE" w:rsidR="004C1D96" w:rsidRDefault="00E043DA" w:rsidP="00515787">
      <w:pPr>
        <w:pStyle w:val="Bodycopy1"/>
      </w:pPr>
      <w:r>
        <w:t xml:space="preserve">The LEAD Tool contains national, state, county, tribal, and city data. All the underlying data starts at the Census Tract level. </w:t>
      </w:r>
      <w:r w:rsidR="00BE3139">
        <w:t>Household</w:t>
      </w:r>
      <w:r>
        <w:t xml:space="preserve"> i</w:t>
      </w:r>
      <w:r w:rsidR="00BE3139">
        <w:t xml:space="preserve">ncome information is provided as a percentage of the </w:t>
      </w:r>
      <w:r>
        <w:t>Area Median Income (AMI), State Median Income (SMI), and Federal Poverty Level. The tool provides the number of occupied housing units and energy expenditures by:</w:t>
      </w:r>
    </w:p>
    <w:p w14:paraId="323E5C53" w14:textId="712D8CF5" w:rsidR="00E043DA" w:rsidRDefault="00E043DA" w:rsidP="00E043DA">
      <w:pPr>
        <w:pStyle w:val="ListBullet"/>
      </w:pPr>
      <w:r>
        <w:t>Tenure (owner or renter)</w:t>
      </w:r>
    </w:p>
    <w:p w14:paraId="7B8587D0" w14:textId="62063DA5" w:rsidR="00E043DA" w:rsidRDefault="00E043DA" w:rsidP="00E043DA">
      <w:pPr>
        <w:pStyle w:val="ListBullet"/>
      </w:pPr>
      <w:r>
        <w:t>Year of first construction</w:t>
      </w:r>
    </w:p>
    <w:p w14:paraId="2477C3D3" w14:textId="0F865488" w:rsidR="00E043DA" w:rsidRDefault="00E043DA" w:rsidP="00E043DA">
      <w:pPr>
        <w:pStyle w:val="ListBullet"/>
      </w:pPr>
      <w:r>
        <w:t>Number of units in the building</w:t>
      </w:r>
    </w:p>
    <w:p w14:paraId="38D26598" w14:textId="77777777" w:rsidR="00E043DA" w:rsidRDefault="00E043DA" w:rsidP="00E043DA">
      <w:pPr>
        <w:pStyle w:val="ListBullet"/>
      </w:pPr>
      <w:r>
        <w:t>Housing unit primary heat type</w:t>
      </w:r>
    </w:p>
    <w:p w14:paraId="747686E3" w14:textId="312E7138" w:rsidR="00E043DA" w:rsidRDefault="00E043DA" w:rsidP="00E043DA">
      <w:pPr>
        <w:pStyle w:val="ListBullet"/>
        <w:numPr>
          <w:ilvl w:val="0"/>
          <w:numId w:val="0"/>
        </w:numPr>
        <w:ind w:left="360" w:hanging="360"/>
      </w:pPr>
    </w:p>
    <w:p w14:paraId="5DBA33CE" w14:textId="229D1F37" w:rsidR="009F2EED" w:rsidRDefault="009F2EED" w:rsidP="009F2EED">
      <w:pPr>
        <w:pStyle w:val="Heading3"/>
      </w:pPr>
      <w:r>
        <w:t>Definition of Energy Burden</w:t>
      </w:r>
    </w:p>
    <w:p w14:paraId="7D77DDD7" w14:textId="64D2FB73" w:rsidR="004A3AB9" w:rsidRPr="00915030" w:rsidRDefault="00E043DA" w:rsidP="00515787">
      <w:pPr>
        <w:pStyle w:val="Bodycopy1"/>
      </w:pPr>
      <w:r>
        <w:t xml:space="preserve">Household energy burden is the percent of average housing energy expenditures to average household income. It includes expenditures on fuels use for home heating and power, such as electricity, natural gas, propane and wood. It does not include non-utility and transportation-related costs.  </w:t>
      </w:r>
    </w:p>
    <w:p w14:paraId="483BB32C" w14:textId="7099E9F2" w:rsidR="00732D68" w:rsidRDefault="00915030" w:rsidP="00BE3139">
      <w:pPr>
        <w:pStyle w:val="Heading3"/>
      </w:pPr>
      <w:r>
        <w:lastRenderedPageBreak/>
        <w:t>Data sources</w:t>
      </w:r>
    </w:p>
    <w:p w14:paraId="652122C5" w14:textId="7A4D4BE9" w:rsidR="00BD0CEB" w:rsidRPr="00BD0CEB" w:rsidRDefault="00BE3139" w:rsidP="00BD0CEB">
      <w:pPr>
        <w:pStyle w:val="Bodycopy1"/>
      </w:pPr>
      <w:r>
        <w:t>The DOE LEAD Tool uses the U.S. Census Bureau's American Community Survey (ACS). The current data set uses 2022 Public Use Microdata Samples averaged over five years (2016-2020). Like all U.S. Census Bureau data, the ACS survey data is self-reported. I</w:t>
      </w:r>
      <w:r w:rsidR="00467DF7">
        <w:t>n other words, the survey</w:t>
      </w:r>
      <w:r>
        <w:t xml:space="preserve"> asks about </w:t>
      </w:r>
      <w:r w:rsidR="00467DF7">
        <w:t xml:space="preserve">household </w:t>
      </w:r>
      <w:r>
        <w:t>energy</w:t>
      </w:r>
      <w:r w:rsidR="00467DF7">
        <w:t xml:space="preserve"> use</w:t>
      </w:r>
      <w:r>
        <w:t xml:space="preserve"> </w:t>
      </w:r>
      <w:r w:rsidR="00467DF7">
        <w:t xml:space="preserve">and </w:t>
      </w:r>
      <w:r>
        <w:t>expenditures</w:t>
      </w:r>
      <w:r w:rsidR="00467DF7">
        <w:t xml:space="preserve"> and</w:t>
      </w:r>
      <w:r w:rsidR="009F2EED">
        <w:t xml:space="preserve"> the respondent identifies their </w:t>
      </w:r>
      <w:r w:rsidR="00467DF7">
        <w:t>energy they use and monthly energy expenses. Energy prices and use can fluctuate greatly and respondents may overestimate or underestimate</w:t>
      </w:r>
      <w:r w:rsidR="009F2EED">
        <w:t xml:space="preserve"> their energy costs</w:t>
      </w:r>
      <w:r w:rsidR="00467DF7">
        <w:t>. DOE calibrates the data using the U.S. Energy Information Administration's electric utility (Survey Form 861) and natural gas utility (Survey Form 176) data</w:t>
      </w:r>
      <w:r w:rsidR="009F2EED">
        <w:t xml:space="preserve"> to correct for these errors as best as possible with readily available data</w:t>
      </w:r>
      <w:r w:rsidR="00BD0CEB">
        <w:t>. Any analysis using the DOE LEAD Tool should keep in mind that</w:t>
      </w:r>
      <w:r w:rsidR="009F2EED">
        <w:t xml:space="preserve"> while the tool provides</w:t>
      </w:r>
      <w:r w:rsidR="00BD0CEB">
        <w:t xml:space="preserve"> a good guesstimate of energy burden, </w:t>
      </w:r>
      <w:r w:rsidR="009F2EED">
        <w:t>the tool does not have access to actual utility rates and could be improved with that data</w:t>
      </w:r>
      <w:r w:rsidR="00BD0CEB">
        <w:t>.</w:t>
      </w:r>
    </w:p>
    <w:p w14:paraId="433FC565" w14:textId="02512E42" w:rsidR="00BD0CEB" w:rsidRPr="00BD0CEB" w:rsidRDefault="00125072" w:rsidP="007C7C03">
      <w:pPr>
        <w:pStyle w:val="Bodycopy1"/>
      </w:pPr>
      <w:r>
        <w:t xml:space="preserve">Commerce will complete this section of the report in the second draft </w:t>
      </w:r>
      <w:r w:rsidR="007C7C03">
        <w:t>to be posted on Sept. 27, 2022.</w:t>
      </w:r>
    </w:p>
    <w:p w14:paraId="1F67A550" w14:textId="5FC02565" w:rsidR="00515787" w:rsidRDefault="00515787" w:rsidP="00515787">
      <w:pPr>
        <w:pStyle w:val="Bodycopy1"/>
      </w:pPr>
    </w:p>
    <w:p w14:paraId="69678069" w14:textId="31D6B32B" w:rsidR="00515787" w:rsidRDefault="00515787" w:rsidP="00515787">
      <w:pPr>
        <w:pStyle w:val="Bodycopy1"/>
      </w:pPr>
    </w:p>
    <w:p w14:paraId="14A43FCE" w14:textId="10993A8E" w:rsidR="00515787" w:rsidRDefault="00515787" w:rsidP="00515787">
      <w:pPr>
        <w:pStyle w:val="Bodycopy1"/>
      </w:pPr>
    </w:p>
    <w:p w14:paraId="61681DB2" w14:textId="125A0B11" w:rsidR="00515787" w:rsidRDefault="00515787" w:rsidP="00515787">
      <w:pPr>
        <w:pStyle w:val="Bodycopy1"/>
      </w:pPr>
    </w:p>
    <w:p w14:paraId="2367476C" w14:textId="059C87D8" w:rsidR="00515787" w:rsidRDefault="00515787" w:rsidP="00515787">
      <w:pPr>
        <w:pStyle w:val="Bodycopy1"/>
      </w:pPr>
    </w:p>
    <w:p w14:paraId="61143020" w14:textId="1F1E7D36" w:rsidR="00515787" w:rsidRDefault="00515787" w:rsidP="00515787">
      <w:pPr>
        <w:pStyle w:val="Bodycopy1"/>
      </w:pPr>
    </w:p>
    <w:p w14:paraId="6FB63DFB" w14:textId="6214DBFF" w:rsidR="00515787" w:rsidRDefault="00515787" w:rsidP="00515787">
      <w:pPr>
        <w:pStyle w:val="Bodycopy1"/>
      </w:pPr>
    </w:p>
    <w:p w14:paraId="5548AA90" w14:textId="329EA0CA" w:rsidR="00515787" w:rsidRDefault="00515787" w:rsidP="00515787">
      <w:pPr>
        <w:pStyle w:val="Bodycopy1"/>
      </w:pPr>
    </w:p>
    <w:p w14:paraId="0A8B2DEB" w14:textId="2C3AB2A5" w:rsidR="00515787" w:rsidRDefault="00515787" w:rsidP="00515787">
      <w:pPr>
        <w:pStyle w:val="Bodycopy1"/>
      </w:pPr>
    </w:p>
    <w:p w14:paraId="62E43A2F" w14:textId="5BB15966" w:rsidR="00515787" w:rsidRDefault="00515787" w:rsidP="00515787">
      <w:pPr>
        <w:pStyle w:val="Bodycopy1"/>
      </w:pPr>
    </w:p>
    <w:p w14:paraId="3DBF7D10" w14:textId="33CA749B" w:rsidR="00515787" w:rsidRDefault="00515787" w:rsidP="00515787">
      <w:pPr>
        <w:pStyle w:val="Bodycopy1"/>
      </w:pPr>
    </w:p>
    <w:p w14:paraId="78E82E07" w14:textId="3B19272F" w:rsidR="00515787" w:rsidRDefault="00515787" w:rsidP="00515787">
      <w:pPr>
        <w:pStyle w:val="Bodycopy1"/>
      </w:pPr>
    </w:p>
    <w:p w14:paraId="4F0103D9" w14:textId="4C3D5523" w:rsidR="00515787" w:rsidRDefault="00515787" w:rsidP="00515787">
      <w:pPr>
        <w:pStyle w:val="Bodycopy1"/>
      </w:pPr>
    </w:p>
    <w:p w14:paraId="67F7EE76" w14:textId="7CB3D5F8" w:rsidR="00515787" w:rsidRDefault="00515787" w:rsidP="00515787">
      <w:pPr>
        <w:pStyle w:val="Bodycopy1"/>
      </w:pPr>
    </w:p>
    <w:p w14:paraId="1A24756B" w14:textId="13C3764C" w:rsidR="00515787" w:rsidRDefault="00515787" w:rsidP="00515787">
      <w:pPr>
        <w:pStyle w:val="Bodycopy1"/>
      </w:pPr>
    </w:p>
    <w:p w14:paraId="4C9E04D2" w14:textId="38B48958" w:rsidR="001F403B" w:rsidRDefault="001F403B" w:rsidP="00515787">
      <w:pPr>
        <w:pStyle w:val="Bodycopy1"/>
      </w:pPr>
    </w:p>
    <w:p w14:paraId="0105BF4D" w14:textId="77777777" w:rsidR="001F403B" w:rsidRPr="00515787" w:rsidRDefault="001F403B" w:rsidP="00515787">
      <w:pPr>
        <w:pStyle w:val="Bodycopy1"/>
      </w:pPr>
    </w:p>
    <w:p w14:paraId="2B90C429" w14:textId="348134D2" w:rsidR="007F63E9" w:rsidRPr="00A60AB0" w:rsidRDefault="007F63E9" w:rsidP="007F63E9">
      <w:pPr>
        <w:pStyle w:val="Heading1"/>
      </w:pPr>
      <w:bookmarkStart w:id="4" w:name="_Toc112748064"/>
      <w:r>
        <w:lastRenderedPageBreak/>
        <w:t>Summary of Energy Assistance Programs</w:t>
      </w:r>
      <w:bookmarkEnd w:id="4"/>
    </w:p>
    <w:p w14:paraId="100CB979" w14:textId="5CE8B061" w:rsidR="00DC62C6" w:rsidRDefault="00237BF8" w:rsidP="00DA6D8D">
      <w:pPr>
        <w:pStyle w:val="Heading2"/>
      </w:pPr>
      <w:r>
        <w:t>A brief history</w:t>
      </w:r>
    </w:p>
    <w:p w14:paraId="516D1081" w14:textId="1A1713A7" w:rsidR="00566A4B" w:rsidRDefault="00566A4B" w:rsidP="00566A4B">
      <w:pPr>
        <w:pStyle w:val="Bodycopy1"/>
      </w:pPr>
      <w:r>
        <w:t>The utility assessments conducted under Sec. 120 represent the first statewide review of low-income energy assistance programs</w:t>
      </w:r>
      <w:r w:rsidR="005831CF">
        <w:t xml:space="preserve">. </w:t>
      </w:r>
      <w:r>
        <w:t>Over a quarter of these</w:t>
      </w:r>
      <w:r w:rsidR="005831CF">
        <w:t xml:space="preserve"> energy assistance</w:t>
      </w:r>
      <w:r>
        <w:t xml:space="preserve"> programs </w:t>
      </w:r>
      <w:r w:rsidR="00B01A94">
        <w:t xml:space="preserve">have their origins in the 1980s when the federal and state government took deliberate actions to encourage electric utilities to conserve energy and </w:t>
      </w:r>
      <w:r w:rsidR="00BD538A">
        <w:t>provide reduced rates for</w:t>
      </w:r>
      <w:r w:rsidR="00B01A94">
        <w:t xml:space="preserve"> low-income households. </w:t>
      </w:r>
      <w:r w:rsidR="005831CF">
        <w:t xml:space="preserve">State law clarified that public utilities could provide </w:t>
      </w:r>
      <w:r w:rsidR="00237BF8">
        <w:t xml:space="preserve">direct bill </w:t>
      </w:r>
      <w:r w:rsidR="005831CF">
        <w:t xml:space="preserve">assistance to low-income seniors and later low-income disabled persons, but </w:t>
      </w:r>
      <w:r w:rsidR="00BD538A">
        <w:t>it did not include</w:t>
      </w:r>
      <w:r w:rsidR="005831CF">
        <w:t xml:space="preserve"> all low-income households</w:t>
      </w:r>
      <w:r w:rsidR="00BD538A">
        <w:t xml:space="preserve"> until 1998</w:t>
      </w:r>
      <w:r w:rsidR="005831CF">
        <w:t>.</w:t>
      </w:r>
      <w:r w:rsidR="009F2EED">
        <w:rPr>
          <w:rStyle w:val="FootnoteReference"/>
        </w:rPr>
        <w:footnoteReference w:id="3"/>
      </w:r>
      <w:r w:rsidR="00BD538A">
        <w:t xml:space="preserve"> </w:t>
      </w:r>
      <w:r w:rsidR="005831CF">
        <w:t>Many of these</w:t>
      </w:r>
      <w:r w:rsidR="0043332B">
        <w:t xml:space="preserve"> legacy</w:t>
      </w:r>
      <w:r w:rsidR="00780A63">
        <w:t xml:space="preserve"> bill assistance</w:t>
      </w:r>
      <w:r w:rsidR="005831CF">
        <w:t xml:space="preserve"> programs remain</w:t>
      </w:r>
      <w:r w:rsidR="00BD538A">
        <w:t xml:space="preserve"> the only bill reduction programs</w:t>
      </w:r>
      <w:r w:rsidR="00330EA5">
        <w:t xml:space="preserve"> offered by</w:t>
      </w:r>
      <w:r w:rsidR="005831CF">
        <w:t xml:space="preserve"> </w:t>
      </w:r>
      <w:r w:rsidR="00BD538A">
        <w:t>utilities and</w:t>
      </w:r>
      <w:r w:rsidR="009F2EED">
        <w:t xml:space="preserve"> </w:t>
      </w:r>
      <w:r w:rsidR="005831CF">
        <w:t>closed to</w:t>
      </w:r>
      <w:r w:rsidR="00BD538A">
        <w:t xml:space="preserve"> all</w:t>
      </w:r>
      <w:r w:rsidR="005831CF">
        <w:t xml:space="preserve"> </w:t>
      </w:r>
      <w:r w:rsidR="00237BF8">
        <w:t>low-income households</w:t>
      </w:r>
      <w:r w:rsidR="009F2EED">
        <w:t xml:space="preserve">. In addition, roughly half of all </w:t>
      </w:r>
      <w:r w:rsidR="00BD538A">
        <w:t>bill assistance</w:t>
      </w:r>
      <w:r w:rsidR="00237BF8">
        <w:t xml:space="preserve"> programs </w:t>
      </w:r>
      <w:r w:rsidR="00BD538A">
        <w:t xml:space="preserve">created in the last 20 years </w:t>
      </w:r>
      <w:r w:rsidR="00780A63">
        <w:t xml:space="preserve">are not open to all low-income households. </w:t>
      </w:r>
      <w:r w:rsidR="00BD538A">
        <w:t>These l</w:t>
      </w:r>
      <w:r w:rsidR="00237BF8">
        <w:t xml:space="preserve">egacy </w:t>
      </w:r>
      <w:r w:rsidR="0043332B">
        <w:t>programs</w:t>
      </w:r>
      <w:r w:rsidR="00BD538A">
        <w:t>,</w:t>
      </w:r>
      <w:r w:rsidR="0043332B">
        <w:t xml:space="preserve"> </w:t>
      </w:r>
      <w:r w:rsidR="00BD0CEB">
        <w:t xml:space="preserve">other </w:t>
      </w:r>
      <w:r w:rsidR="0043332B">
        <w:t>mechanisms to reduce energy burden</w:t>
      </w:r>
      <w:r w:rsidR="00BD538A">
        <w:t>,</w:t>
      </w:r>
      <w:r w:rsidR="0043332B">
        <w:t xml:space="preserve"> and utility plans for the future are discussed below.</w:t>
      </w:r>
    </w:p>
    <w:p w14:paraId="29D353E2" w14:textId="626134CD" w:rsidR="007C0B1B" w:rsidRPr="007C0B1B" w:rsidRDefault="00237BF8" w:rsidP="00915030">
      <w:pPr>
        <w:pStyle w:val="Heading2"/>
      </w:pPr>
      <w:r>
        <w:t>Programs and mechanisms to reduce energy burden</w:t>
      </w:r>
    </w:p>
    <w:p w14:paraId="2B45CF48" w14:textId="77777777" w:rsidR="00334020" w:rsidRDefault="00A3462C" w:rsidP="00A3462C">
      <w:pPr>
        <w:pStyle w:val="Heading3"/>
      </w:pPr>
      <w:r>
        <w:t xml:space="preserve">Energy efficiency </w:t>
      </w:r>
    </w:p>
    <w:p w14:paraId="302DD041" w14:textId="46D67B89" w:rsidR="00A3462C" w:rsidRDefault="00AC17AF" w:rsidP="00A3462C">
      <w:pPr>
        <w:pStyle w:val="Bodycopy1"/>
      </w:pPr>
      <w:r>
        <w:t>Energy efficiency programs include w</w:t>
      </w:r>
      <w:r w:rsidR="00A3462C" w:rsidRPr="00A3462C">
        <w:t>eatherization, conservation and efficiency services</w:t>
      </w:r>
      <w:r>
        <w:t xml:space="preserve"> intended to specifically reduce the energy burden of low-income households. </w:t>
      </w:r>
      <w:r w:rsidR="009F2EED">
        <w:t>One of the</w:t>
      </w:r>
      <w:r w:rsidR="00DE2A5C">
        <w:t xml:space="preserve"> strength</w:t>
      </w:r>
      <w:r w:rsidR="009F2EED">
        <w:t>s</w:t>
      </w:r>
      <w:r w:rsidR="00DE2A5C">
        <w:t xml:space="preserve"> of energy efficiency </w:t>
      </w:r>
      <w:r w:rsidR="00330EA5">
        <w:t xml:space="preserve">lies not in </w:t>
      </w:r>
      <w:r w:rsidR="009F2EED">
        <w:t>its</w:t>
      </w:r>
      <w:r w:rsidR="00330EA5">
        <w:t xml:space="preserve"> immediate impact on</w:t>
      </w:r>
      <w:r w:rsidR="00DE2A5C">
        <w:t xml:space="preserve"> a low-income household's energy burden, but rathe</w:t>
      </w:r>
      <w:r w:rsidR="00C5009F">
        <w:t xml:space="preserve">r their long-term reductions in energy burden. Based on data submitted by utilities, Commerce estimates that every dollar spent on </w:t>
      </w:r>
      <w:r w:rsidR="00330EA5">
        <w:t>energy efficiency results in an $X</w:t>
      </w:r>
      <w:r w:rsidR="00C5009F">
        <w:t xml:space="preserve"> annual reduction in a households energy burden, and $X reduction over the life of the measure. </w:t>
      </w:r>
      <w:r w:rsidR="009F2EED">
        <w:t xml:space="preserve">Additional benefits include improved health and wellbeing and higher property values. </w:t>
      </w:r>
      <w:r w:rsidR="00DE2A5C">
        <w:t xml:space="preserve">Energy efficiency programs </w:t>
      </w:r>
      <w:r w:rsidR="00C5009F">
        <w:t>have higher administration and operation costs, but also create more jobs than bill assistance programs.</w:t>
      </w:r>
    </w:p>
    <w:p w14:paraId="689B11F2" w14:textId="77777777" w:rsidR="00A3462C" w:rsidRDefault="00A3462C" w:rsidP="00A3462C">
      <w:pPr>
        <w:pStyle w:val="Heading3"/>
      </w:pPr>
      <w:r>
        <w:t>Arrearage forgiveness</w:t>
      </w:r>
      <w:r w:rsidR="00D8073D">
        <w:t xml:space="preserve"> </w:t>
      </w:r>
    </w:p>
    <w:p w14:paraId="200C63EE" w14:textId="3BD292DA" w:rsidR="00A3462C" w:rsidRDefault="008300F7" w:rsidP="00A3462C">
      <w:pPr>
        <w:pStyle w:val="Bodycopy1"/>
      </w:pPr>
      <w:r>
        <w:t>Arrearage forgiveness offers an</w:t>
      </w:r>
      <w:r w:rsidR="000B5786">
        <w:t>other</w:t>
      </w:r>
      <w:r>
        <w:t xml:space="preserve"> approach to reducing the energy burden of low-income households that have fal</w:t>
      </w:r>
      <w:r w:rsidR="000B5786">
        <w:t>len behind on their energy bill</w:t>
      </w:r>
      <w:r>
        <w:t>s. Th</w:t>
      </w:r>
      <w:r w:rsidR="00336030">
        <w:t xml:space="preserve">e number of households with arrears </w:t>
      </w:r>
      <w:r w:rsidR="004030C7">
        <w:t>are</w:t>
      </w:r>
      <w:r>
        <w:t xml:space="preserve"> likely a growing portion of</w:t>
      </w:r>
      <w:r w:rsidR="004030C7">
        <w:t xml:space="preserve"> the state's</w:t>
      </w:r>
      <w:r>
        <w:t xml:space="preserve"> burdened customers</w:t>
      </w:r>
      <w:r w:rsidR="004030C7">
        <w:t xml:space="preserve"> following the COVID-19 pandemic and </w:t>
      </w:r>
      <w:r w:rsidR="00336030">
        <w:t xml:space="preserve">subsequent </w:t>
      </w:r>
      <w:r w:rsidR="004030C7">
        <w:t>economic recession</w:t>
      </w:r>
      <w:r>
        <w:t>.</w:t>
      </w:r>
      <w:r w:rsidR="004030C7">
        <w:t xml:space="preserve"> </w:t>
      </w:r>
    </w:p>
    <w:p w14:paraId="16627456" w14:textId="77777777" w:rsidR="008300F7" w:rsidRDefault="00A3462C" w:rsidP="00A3462C">
      <w:pPr>
        <w:pStyle w:val="Heading3"/>
      </w:pPr>
      <w:r>
        <w:t>Direct customer ownership in distributed energy resources</w:t>
      </w:r>
      <w:r w:rsidR="001B0EB9">
        <w:t xml:space="preserve"> </w:t>
      </w:r>
    </w:p>
    <w:p w14:paraId="1A80BFBD" w14:textId="526F7863" w:rsidR="00041477" w:rsidRDefault="001A7F16" w:rsidP="00041477">
      <w:pPr>
        <w:pStyle w:val="Bodycopy1"/>
      </w:pPr>
      <w:r>
        <w:t>E</w:t>
      </w:r>
      <w:r w:rsidR="009E7CB3" w:rsidRPr="009E7CB3">
        <w:t>nergy assistance may include direct customer ownership in distributed energy resources or other strategies if such strategies achieve a reduction in energy burden for the customer above other available conservation and demand-side measures.</w:t>
      </w:r>
      <w:r>
        <w:rPr>
          <w:rStyle w:val="FootnoteReference"/>
        </w:rPr>
        <w:footnoteReference w:id="4"/>
      </w:r>
    </w:p>
    <w:p w14:paraId="0E0DBD81" w14:textId="2679FD8D" w:rsidR="00053747" w:rsidRDefault="009869F2" w:rsidP="0066346B">
      <w:pPr>
        <w:pStyle w:val="Heading2"/>
      </w:pPr>
      <w:r>
        <w:t>Washington State Programs</w:t>
      </w:r>
    </w:p>
    <w:p w14:paraId="7E62BC10" w14:textId="6F35C8F5" w:rsidR="00041477" w:rsidRDefault="005F20EF" w:rsidP="00053747">
      <w:pPr>
        <w:pStyle w:val="Heading3"/>
      </w:pPr>
      <w:r>
        <w:t>Program types</w:t>
      </w:r>
    </w:p>
    <w:p w14:paraId="6039B3BE" w14:textId="0AD36010" w:rsidR="00241332" w:rsidRPr="00041477" w:rsidRDefault="005877C8" w:rsidP="00041477">
      <w:pPr>
        <w:pStyle w:val="Bodycopy1"/>
      </w:pPr>
      <w:r>
        <w:t>Washington utilities reported</w:t>
      </w:r>
      <w:r w:rsidR="005F20EF">
        <w:t xml:space="preserve"> serving low-income households with a</w:t>
      </w:r>
      <w:r>
        <w:t xml:space="preserve"> mix of bill assistance and energy efficiency programs in 2019 and 2020. </w:t>
      </w:r>
      <w:r w:rsidR="005F20EF">
        <w:t>52</w:t>
      </w:r>
      <w:r w:rsidR="008A0076">
        <w:t xml:space="preserve"> rate-</w:t>
      </w:r>
      <w:r>
        <w:t>based bill assistance programs</w:t>
      </w:r>
      <w:r w:rsidR="005F20EF">
        <w:t xml:space="preserve"> and 42</w:t>
      </w:r>
      <w:r w:rsidR="008A0076">
        <w:t xml:space="preserve"> rate-</w:t>
      </w:r>
      <w:r>
        <w:t>ba</w:t>
      </w:r>
      <w:r w:rsidR="00F3060D">
        <w:t>sed energy efficiency programs</w:t>
      </w:r>
      <w:r w:rsidR="00232E99">
        <w:t xml:space="preserve"> were reported to serve low-income households in 2019 through 2020</w:t>
      </w:r>
      <w:r w:rsidR="00F3060D">
        <w:t xml:space="preserve">. </w:t>
      </w:r>
      <w:r w:rsidR="00E43BFF">
        <w:t xml:space="preserve">Most utilities offer </w:t>
      </w:r>
      <w:r w:rsidR="00E43BFF">
        <w:lastRenderedPageBreak/>
        <w:t>one-or-more</w:t>
      </w:r>
      <w:r>
        <w:t xml:space="preserve"> </w:t>
      </w:r>
      <w:r w:rsidR="008A0076">
        <w:t>rate-based</w:t>
      </w:r>
      <w:r w:rsidR="00606BB7">
        <w:t xml:space="preserve"> bill assistance </w:t>
      </w:r>
      <w:r w:rsidR="00E43BFF">
        <w:t>programs</w:t>
      </w:r>
      <w:r w:rsidR="00232E99">
        <w:t xml:space="preserve"> and </w:t>
      </w:r>
      <w:r w:rsidR="00E43BFF">
        <w:t>energy efficiency program</w:t>
      </w:r>
      <w:r w:rsidR="00232E99">
        <w:t>s serving</w:t>
      </w:r>
      <w:r w:rsidR="009F2EED">
        <w:t xml:space="preserve"> low-income households</w:t>
      </w:r>
      <w:r w:rsidR="00E43BFF">
        <w:t>.</w:t>
      </w:r>
      <w:r w:rsidR="00606BB7">
        <w:t xml:space="preserve"> </w:t>
      </w:r>
      <w:r w:rsidR="00232E99">
        <w:t>M</w:t>
      </w:r>
      <w:r w:rsidR="00E43BFF">
        <w:t>unicipalities and a few other util</w:t>
      </w:r>
      <w:r w:rsidR="005F20EF">
        <w:t xml:space="preserve">ities did not report </w:t>
      </w:r>
      <w:r w:rsidR="00232E99">
        <w:t xml:space="preserve">offering </w:t>
      </w:r>
      <w:r w:rsidR="00E43BFF">
        <w:t>energy efficiency programs.</w:t>
      </w:r>
      <w:r w:rsidR="00E43BFF">
        <w:rPr>
          <w:rStyle w:val="FootnoteReference"/>
        </w:rPr>
        <w:footnoteReference w:id="5"/>
      </w:r>
      <w:r w:rsidR="00E43BFF">
        <w:t xml:space="preserve"> </w:t>
      </w:r>
      <w:r w:rsidR="00241332">
        <w:t xml:space="preserve">No </w:t>
      </w:r>
      <w:r w:rsidR="008A0076">
        <w:t>rate-based</w:t>
      </w:r>
      <w:r w:rsidR="00241332">
        <w:t xml:space="preserve"> arrearage forgiveness programs were reported.</w:t>
      </w:r>
      <w:r w:rsidR="00E64597">
        <w:t xml:space="preserve"> </w:t>
      </w:r>
      <w:r w:rsidR="00F3060D">
        <w:t>Two renewable energy programs were reported as</w:t>
      </w:r>
      <w:r w:rsidR="00241332">
        <w:t xml:space="preserve"> </w:t>
      </w:r>
      <w:r w:rsidR="009F2EED">
        <w:t xml:space="preserve">contributing to </w:t>
      </w:r>
      <w:r w:rsidR="008A0076">
        <w:t>rate-based</w:t>
      </w:r>
      <w:r w:rsidR="00F3060D">
        <w:t xml:space="preserve"> energy assistance</w:t>
      </w:r>
      <w:r w:rsidR="009F2EED">
        <w:t xml:space="preserve"> for low-income households</w:t>
      </w:r>
      <w:r w:rsidR="00241332">
        <w:t>.</w:t>
      </w:r>
      <w:r w:rsidR="00241332">
        <w:rPr>
          <w:rStyle w:val="FootnoteReference"/>
        </w:rPr>
        <w:footnoteReference w:id="6"/>
      </w:r>
      <w:r w:rsidR="00241332">
        <w:t xml:space="preserve"> 2</w:t>
      </w:r>
      <w:r w:rsidR="00241332" w:rsidRPr="00241332">
        <w:t>3 donation-based bill assistance programs were reported as serving low-income households.</w:t>
      </w:r>
    </w:p>
    <w:p w14:paraId="774458FD" w14:textId="1CA401B5" w:rsidR="00741DC6" w:rsidRPr="00741DC6" w:rsidRDefault="00741DC6" w:rsidP="00053747">
      <w:pPr>
        <w:pStyle w:val="Heading3"/>
      </w:pPr>
      <w:r>
        <w:t>Eligibility</w:t>
      </w:r>
      <w:r w:rsidR="00280413">
        <w:t xml:space="preserve"> </w:t>
      </w:r>
      <w:r w:rsidR="00053747">
        <w:t>r</w:t>
      </w:r>
      <w:r w:rsidR="00041477">
        <w:t>equirements</w:t>
      </w:r>
    </w:p>
    <w:p w14:paraId="7A5DE175" w14:textId="052B50F0" w:rsidR="004A11B1" w:rsidRDefault="00C7162E" w:rsidP="00C7162E">
      <w:pPr>
        <w:pStyle w:val="Bodycopy1"/>
      </w:pPr>
      <w:r>
        <w:t xml:space="preserve">Roughly 2/3 of </w:t>
      </w:r>
      <w:r w:rsidR="008A0076">
        <w:t>rate-based</w:t>
      </w:r>
      <w:r>
        <w:t xml:space="preserve"> programs reported </w:t>
      </w:r>
      <w:r w:rsidR="008A0076">
        <w:t>are</w:t>
      </w:r>
      <w:r>
        <w:t xml:space="preserve"> open to low-income households. The other 1/3 reported</w:t>
      </w:r>
      <w:r w:rsidR="00F77F69">
        <w:t xml:space="preserve"> programs only serve</w:t>
      </w:r>
      <w:r w:rsidR="009F2EED">
        <w:t xml:space="preserve"> low-income</w:t>
      </w:r>
      <w:r w:rsidR="00F77F69">
        <w:t xml:space="preserve"> households that meet</w:t>
      </w:r>
      <w:r>
        <w:t xml:space="preserve"> additional criteria.</w:t>
      </w:r>
      <w:r w:rsidR="004A11B1">
        <w:t xml:space="preserve"> </w:t>
      </w:r>
      <w:r>
        <w:t xml:space="preserve">With the exception of Snohomish County PUD No 1 and Clark County PUD No 1, </w:t>
      </w:r>
      <w:r w:rsidR="004A11B1">
        <w:t xml:space="preserve">public utility districts only offer </w:t>
      </w:r>
      <w:r w:rsidR="008A0076">
        <w:t>rate-based</w:t>
      </w:r>
      <w:r w:rsidR="004A11B1">
        <w:t xml:space="preserve"> bill assistan</w:t>
      </w:r>
      <w:r w:rsidR="00BD538A">
        <w:t>ce programs to "low-income plus" households</w:t>
      </w:r>
      <w:r w:rsidR="008A0076">
        <w:t>; t</w:t>
      </w:r>
      <w:r w:rsidR="004A11B1">
        <w:t xml:space="preserve">hey do not offer </w:t>
      </w:r>
      <w:r w:rsidR="008A0076">
        <w:t>rate-based</w:t>
      </w:r>
      <w:r w:rsidR="004A11B1">
        <w:t xml:space="preserve"> bill assistance programs to all their low-income customers. This contrasts with investor owned utili</w:t>
      </w:r>
      <w:r w:rsidR="009F6942">
        <w:t>ties, which combined</w:t>
      </w:r>
      <w:r w:rsidR="004A11B1">
        <w:t xml:space="preserve"> only offer one low-income plus program</w:t>
      </w:r>
      <w:r w:rsidR="009F6942">
        <w:t>. Four municipalities and one cooperative offer only low-income plus programs.</w:t>
      </w:r>
      <w:r w:rsidR="009F6942">
        <w:rPr>
          <w:rStyle w:val="FootnoteReference"/>
        </w:rPr>
        <w:footnoteReference w:id="7"/>
      </w:r>
      <w:r w:rsidR="009F6942">
        <w:t xml:space="preserve"> </w:t>
      </w:r>
      <w:r w:rsidR="003B2B24">
        <w:t>Low-income households are eligible for</w:t>
      </w:r>
      <w:r w:rsidR="009F6942">
        <w:t xml:space="preserve"> all energy efficiency programs and</w:t>
      </w:r>
      <w:r w:rsidR="00F3060D">
        <w:t xml:space="preserve"> most donation</w:t>
      </w:r>
      <w:r w:rsidR="008A0076">
        <w:t>-</w:t>
      </w:r>
      <w:r w:rsidR="003B2B24">
        <w:t>based programs.</w:t>
      </w:r>
    </w:p>
    <w:p w14:paraId="7DB1E9CF" w14:textId="16D0AEC8" w:rsidR="00041477" w:rsidRDefault="004A11B1" w:rsidP="003B2B24">
      <w:pPr>
        <w:pStyle w:val="Bodycopy1"/>
      </w:pPr>
      <w:r>
        <w:t xml:space="preserve">The exact number of programs that comport with Commerce's definition of </w:t>
      </w:r>
      <w:r w:rsidR="003B2B24">
        <w:t>"</w:t>
      </w:r>
      <w:r>
        <w:t>low-income</w:t>
      </w:r>
      <w:r w:rsidR="003B2B24">
        <w:t>"</w:t>
      </w:r>
      <w:r>
        <w:t xml:space="preserve"> is not known.</w:t>
      </w:r>
      <w:r w:rsidR="003B2B24" w:rsidRPr="003B2B24">
        <w:rPr>
          <w:rStyle w:val="FootnoteReference"/>
        </w:rPr>
        <w:t xml:space="preserve"> </w:t>
      </w:r>
      <w:r w:rsidR="003B2B24" w:rsidRPr="003B2B24">
        <w:rPr>
          <w:rStyle w:val="FootnoteReference"/>
        </w:rPr>
        <w:footnoteReference w:id="8"/>
      </w:r>
      <w:r w:rsidR="003B2B24">
        <w:t xml:space="preserve"> </w:t>
      </w:r>
      <w:r w:rsidR="009F6942">
        <w:t xml:space="preserve">Utilities were asked to only submit programs that comply with this definition, and </w:t>
      </w:r>
      <w:r w:rsidR="003B2B24">
        <w:t xml:space="preserve">Commerce assumes that all reported programs </w:t>
      </w:r>
      <w:r w:rsidR="00F3060D">
        <w:t>do</w:t>
      </w:r>
      <w:r w:rsidR="003B2B24">
        <w:t>.</w:t>
      </w:r>
    </w:p>
    <w:p w14:paraId="799FF90F" w14:textId="1A2D246A" w:rsidR="00741DC6" w:rsidRDefault="008A0076" w:rsidP="009869F2">
      <w:pPr>
        <w:pStyle w:val="Heading2"/>
      </w:pPr>
      <w:r>
        <w:t>R</w:t>
      </w:r>
      <w:r w:rsidR="00041477">
        <w:t>eported s</w:t>
      </w:r>
      <w:r w:rsidR="00280413">
        <w:t xml:space="preserve">uccesses and </w:t>
      </w:r>
      <w:r w:rsidR="00053747">
        <w:t>c</w:t>
      </w:r>
      <w:r w:rsidR="00741DC6">
        <w:t>hallenges</w:t>
      </w:r>
    </w:p>
    <w:p w14:paraId="1037A1EC" w14:textId="4E0750AF" w:rsidR="00741DC6" w:rsidRPr="00741DC6" w:rsidRDefault="00336764" w:rsidP="00F77F69">
      <w:pPr>
        <w:pStyle w:val="Bodycopy1"/>
      </w:pPr>
      <w:r>
        <w:t xml:space="preserve">Utilities reported the cost of labor and materials for energy efficiency projects as a </w:t>
      </w:r>
      <w:r w:rsidR="008A0076">
        <w:t xml:space="preserve">key </w:t>
      </w:r>
      <w:r>
        <w:t>challeng</w:t>
      </w:r>
      <w:r w:rsidR="008A0076">
        <w:t xml:space="preserve">e for energy efficiency programs. Other common challenges included time-consuming application processes, incomplete paperwork, extensive documentation requirements, lack of public awareness about program offerings, and fluctuations in available funding from donation-based programs. </w:t>
      </w:r>
      <w:r>
        <w:t>Utilities thought their programs were</w:t>
      </w:r>
      <w:r w:rsidR="00F77F69">
        <w:t xml:space="preserve"> overall</w:t>
      </w:r>
      <w:r>
        <w:t xml:space="preserve"> successful at reducing energy</w:t>
      </w:r>
      <w:r w:rsidR="00F77F69">
        <w:t xml:space="preserve"> burden for low-income households.</w:t>
      </w:r>
    </w:p>
    <w:p w14:paraId="414B9A93" w14:textId="0CDC8214" w:rsidR="00B12A27" w:rsidRPr="00B12A27" w:rsidRDefault="001A7F16" w:rsidP="00F77F69">
      <w:pPr>
        <w:pStyle w:val="Heading2"/>
      </w:pPr>
      <w:r>
        <w:t>S</w:t>
      </w:r>
      <w:r w:rsidR="00F77F69">
        <w:t>hort and long-term p</w:t>
      </w:r>
      <w:r>
        <w:t xml:space="preserve">lans </w:t>
      </w:r>
    </w:p>
    <w:p w14:paraId="0C75C9F4" w14:textId="0331F9B1" w:rsidR="00B12A27" w:rsidRPr="00B12A27" w:rsidRDefault="008A63EA" w:rsidP="00915030">
      <w:pPr>
        <w:pStyle w:val="Heading3"/>
      </w:pPr>
      <w:r>
        <w:t xml:space="preserve">Utilities establishing their first </w:t>
      </w:r>
      <w:r w:rsidR="008A0076">
        <w:t>rate-based</w:t>
      </w:r>
      <w:r>
        <w:t xml:space="preserve"> energy assistance programs</w:t>
      </w:r>
    </w:p>
    <w:p w14:paraId="1DD1533C" w14:textId="6D7CBA6F" w:rsidR="00B12A27" w:rsidRDefault="009F2EED" w:rsidP="00BA2141">
      <w:pPr>
        <w:pStyle w:val="Bodycopy1"/>
      </w:pPr>
      <w:r>
        <w:t xml:space="preserve">Kittitas County PUD No 1, the City of Chewelah, Big Bend Electric Coop, Benton Rural Electric Assn, Columbia Rural Electric Assn, Okanogan Electric Coop did not have rate-based energy assistance programs prior to July 1, 2021. </w:t>
      </w:r>
      <w:r w:rsidR="008A63EA">
        <w:t>T</w:t>
      </w:r>
      <w:r w:rsidR="00B4219D">
        <w:t>he</w:t>
      </w:r>
      <w:r>
        <w:t>se utilities</w:t>
      </w:r>
      <w:r w:rsidR="008A63EA">
        <w:t xml:space="preserve"> </w:t>
      </w:r>
      <w:r w:rsidR="00B4219D">
        <w:t xml:space="preserve">are </w:t>
      </w:r>
      <w:r>
        <w:t xml:space="preserve">now </w:t>
      </w:r>
      <w:r w:rsidR="008A63EA">
        <w:t>establishing their first</w:t>
      </w:r>
      <w:r w:rsidR="00B4219D">
        <w:t xml:space="preserve"> </w:t>
      </w:r>
      <w:r w:rsidR="008A0076">
        <w:t>rate-based</w:t>
      </w:r>
      <w:r w:rsidR="008A63EA">
        <w:t xml:space="preserve"> energy a</w:t>
      </w:r>
      <w:r w:rsidR="00B4219D">
        <w:t>ssistance programs</w:t>
      </w:r>
      <w:r>
        <w:t>. They</w:t>
      </w:r>
      <w:r w:rsidR="00B4219D">
        <w:t xml:space="preserve"> reported</w:t>
      </w:r>
      <w:r>
        <w:t xml:space="preserve"> that they plan to identify </w:t>
      </w:r>
      <w:r w:rsidR="00041C9D" w:rsidRPr="00041C9D">
        <w:t>energy assistance nee</w:t>
      </w:r>
      <w:r w:rsidR="00041C9D">
        <w:t xml:space="preserve">d </w:t>
      </w:r>
      <w:r w:rsidR="008A63EA">
        <w:t xml:space="preserve">in their service areas. </w:t>
      </w:r>
    </w:p>
    <w:p w14:paraId="0CA5F2AC" w14:textId="3BE0BD19" w:rsidR="00B12A27" w:rsidRPr="00B12A27" w:rsidRDefault="00B4219D" w:rsidP="00915030">
      <w:pPr>
        <w:pStyle w:val="Heading3"/>
      </w:pPr>
      <w:r>
        <w:t xml:space="preserve">Public utility districts </w:t>
      </w:r>
      <w:r w:rsidR="00915030">
        <w:t>and municipalities</w:t>
      </w:r>
      <w:r>
        <w:t xml:space="preserve"> tweaking or restructuring programs</w:t>
      </w:r>
    </w:p>
    <w:p w14:paraId="5A5B81F8" w14:textId="577502AF" w:rsidR="00BA2141" w:rsidRDefault="00BA2141" w:rsidP="00BA2141">
      <w:pPr>
        <w:pStyle w:val="Bodycopy1"/>
      </w:pPr>
      <w:r>
        <w:t xml:space="preserve">Public utility districts and municipalities are generally taking actions to either tweak or restructure their </w:t>
      </w:r>
      <w:r w:rsidR="008A0076">
        <w:t>rate-based</w:t>
      </w:r>
      <w:r>
        <w:t xml:space="preserve"> programs. T</w:t>
      </w:r>
      <w:r w:rsidR="007B4F58">
        <w:t>here is no common set of actions</w:t>
      </w:r>
      <w:r>
        <w:t xml:space="preserve"> </w:t>
      </w:r>
      <w:r w:rsidR="009F2EED">
        <w:t>among COUs</w:t>
      </w:r>
      <w:r>
        <w:t>. A few</w:t>
      </w:r>
      <w:r w:rsidR="00122AA6">
        <w:t xml:space="preserve"> utility specific</w:t>
      </w:r>
      <w:r>
        <w:t xml:space="preserve"> examples include: </w:t>
      </w:r>
    </w:p>
    <w:p w14:paraId="2E2DBC00" w14:textId="483A209C" w:rsidR="00041C9D" w:rsidRDefault="00122AA6" w:rsidP="00122AA6">
      <w:pPr>
        <w:pStyle w:val="ListBullet"/>
      </w:pPr>
      <w:r>
        <w:lastRenderedPageBreak/>
        <w:t>Clark County PUD No 1 adding an arrearage forgiveness program</w:t>
      </w:r>
      <w:r w:rsidR="003A2A74">
        <w:t xml:space="preserve"> and intends to revise its energy efficiency programs in 2023.</w:t>
      </w:r>
    </w:p>
    <w:p w14:paraId="2B92126F" w14:textId="0AA89420" w:rsidR="00041C9D" w:rsidRDefault="00122AA6" w:rsidP="00041C9D">
      <w:pPr>
        <w:pStyle w:val="ListBullet"/>
      </w:pPr>
      <w:r>
        <w:t>Cowlitz County PUD No 1 is assessing its</w:t>
      </w:r>
      <w:r w:rsidR="00041C9D" w:rsidRPr="00041C9D">
        <w:t xml:space="preserve"> customer demographic data to ensure eligibility requirements, income limits, and discount rates are applicable to vulnerable populations and highly impacted communities with high energy burden. It is also making program adjustments in response economic pressures, customer access constraints and identified gaps for customers with high energy burden that are ineligible for other energy assistance resources.</w:t>
      </w:r>
    </w:p>
    <w:p w14:paraId="27BA81F5" w14:textId="11A5C3E4" w:rsidR="00674253" w:rsidRDefault="00674253" w:rsidP="00674253">
      <w:pPr>
        <w:pStyle w:val="ListBullet"/>
      </w:pPr>
      <w:r>
        <w:t>Mason</w:t>
      </w:r>
      <w:r w:rsidR="00DD0712">
        <w:t xml:space="preserve"> </w:t>
      </w:r>
      <w:r>
        <w:t xml:space="preserve">PUD </w:t>
      </w:r>
      <w:r w:rsidR="00DD0712">
        <w:t xml:space="preserve">No </w:t>
      </w:r>
      <w:r>
        <w:t xml:space="preserve">3 </w:t>
      </w:r>
      <w:r w:rsidR="007B4F58">
        <w:t xml:space="preserve">hired a consultant to build the utility an energy assistance dashboard and evaluate their programs. They intend to use the dashboard to identify and reach out to vulnerable populations, and will partner with their community action council to offer low income residential energy efficiency programs and assistance.  </w:t>
      </w:r>
    </w:p>
    <w:p w14:paraId="1DD9FC46" w14:textId="74FBDCA4" w:rsidR="00041C9D" w:rsidRDefault="00041C9D" w:rsidP="00041C9D">
      <w:pPr>
        <w:pStyle w:val="ListBullet"/>
      </w:pPr>
      <w:r>
        <w:t>Pend Oreille</w:t>
      </w:r>
      <w:r w:rsidR="00DD0712">
        <w:t xml:space="preserve"> County PUD No</w:t>
      </w:r>
      <w:r w:rsidR="0041323F">
        <w:t xml:space="preserve"> 1</w:t>
      </w:r>
      <w:r w:rsidRPr="00041C9D">
        <w:t xml:space="preserve"> will</w:t>
      </w:r>
      <w:r w:rsidR="00122AA6">
        <w:t xml:space="preserve"> engage</w:t>
      </w:r>
      <w:r w:rsidRPr="00041C9D">
        <w:t xml:space="preserve"> members of the </w:t>
      </w:r>
      <w:proofErr w:type="spellStart"/>
      <w:r w:rsidRPr="00041C9D">
        <w:t>Kalispel</w:t>
      </w:r>
      <w:proofErr w:type="spellEnd"/>
      <w:r w:rsidRPr="00041C9D">
        <w:t xml:space="preserve"> Tribe of Indians, low-income households,</w:t>
      </w:r>
      <w:r w:rsidR="00122AA6">
        <w:t xml:space="preserve"> and seniors living in poverty, and </w:t>
      </w:r>
      <w:r w:rsidRPr="00041C9D">
        <w:t xml:space="preserve">plans to work with landlords and multi-family housing owners on potential conservation measures. </w:t>
      </w:r>
    </w:p>
    <w:p w14:paraId="4EAFDC00" w14:textId="42C1E4A4" w:rsidR="00041C9D" w:rsidRDefault="00041C9D" w:rsidP="00041C9D">
      <w:pPr>
        <w:pStyle w:val="ListBullet"/>
      </w:pPr>
      <w:r w:rsidRPr="00041C9D">
        <w:t xml:space="preserve">Snohomish </w:t>
      </w:r>
      <w:r w:rsidR="009F2EED">
        <w:t xml:space="preserve">County </w:t>
      </w:r>
      <w:r w:rsidRPr="00041C9D">
        <w:t>PUD</w:t>
      </w:r>
      <w:r w:rsidR="00AD2F23">
        <w:t xml:space="preserve"> No 1</w:t>
      </w:r>
      <w:r w:rsidRPr="00041C9D">
        <w:t xml:space="preserve"> is currently planning to streamline enrollment for its income qualified discount program. The utility plans to add to its partnerships LIHEAP and DSHS to include a partnership with IQA in health care to limit redundancies and reach all areas across the utility's service area.</w:t>
      </w:r>
    </w:p>
    <w:p w14:paraId="1984CFA8" w14:textId="6BC76A96" w:rsidR="00FD6E1D" w:rsidRDefault="00674253" w:rsidP="00041C9D">
      <w:pPr>
        <w:pStyle w:val="ListBullet"/>
      </w:pPr>
      <w:r>
        <w:t xml:space="preserve">Seattle City Light is </w:t>
      </w:r>
      <w:r w:rsidR="00FD6E1D" w:rsidRPr="00FD6E1D">
        <w:t xml:space="preserve">modernizing </w:t>
      </w:r>
      <w:r>
        <w:t>its</w:t>
      </w:r>
      <w:r w:rsidR="00FD6E1D" w:rsidRPr="00FD6E1D">
        <w:t xml:space="preserve"> application process by </w:t>
      </w:r>
      <w:r>
        <w:t xml:space="preserve">adding an </w:t>
      </w:r>
      <w:r w:rsidR="00FD6E1D" w:rsidRPr="00FD6E1D">
        <w:t xml:space="preserve">enterprise content management system that will bring together previously </w:t>
      </w:r>
      <w:proofErr w:type="spellStart"/>
      <w:r w:rsidR="00FD6E1D" w:rsidRPr="00FD6E1D">
        <w:t>siloed</w:t>
      </w:r>
      <w:proofErr w:type="spellEnd"/>
      <w:r w:rsidR="00FD6E1D" w:rsidRPr="00FD6E1D">
        <w:t xml:space="preserve"> programs into a “one-stop shop” for customers.</w:t>
      </w:r>
    </w:p>
    <w:p w14:paraId="6B88C16F" w14:textId="0A5200B2" w:rsidR="00AB3563" w:rsidRPr="00AB3563" w:rsidRDefault="00674253" w:rsidP="00AB3563">
      <w:pPr>
        <w:pStyle w:val="Bodycopy1"/>
      </w:pPr>
      <w:r>
        <w:t>A handful of</w:t>
      </w:r>
      <w:r w:rsidR="007B4F58">
        <w:t xml:space="preserve"> PUDs continue to</w:t>
      </w:r>
      <w:r>
        <w:t xml:space="preserve"> </w:t>
      </w:r>
      <w:r w:rsidR="00FD6E1D">
        <w:t>evaluate what to do.</w:t>
      </w:r>
      <w:r w:rsidR="00FD6E1D">
        <w:rPr>
          <w:rStyle w:val="FootnoteReference"/>
        </w:rPr>
        <w:footnoteReference w:id="9"/>
      </w:r>
      <w:r w:rsidR="00FD6E1D">
        <w:t xml:space="preserve"> </w:t>
      </w:r>
      <w:r w:rsidR="00AB3563">
        <w:t>A few PUDs and small cooperatives</w:t>
      </w:r>
      <w:r w:rsidR="00AB3563" w:rsidRPr="00AB3563">
        <w:t xml:space="preserve"> and cities aim to maintain their programs</w:t>
      </w:r>
      <w:r w:rsidR="00AB3563">
        <w:t>.</w:t>
      </w:r>
      <w:r w:rsidR="00AB3563">
        <w:rPr>
          <w:rStyle w:val="FootnoteReference"/>
        </w:rPr>
        <w:footnoteReference w:id="10"/>
      </w:r>
    </w:p>
    <w:p w14:paraId="703EADF5" w14:textId="15E6A5B1" w:rsidR="00B12A27" w:rsidRPr="00B12A27" w:rsidRDefault="00B12A27" w:rsidP="00915030">
      <w:pPr>
        <w:pStyle w:val="Heading3"/>
      </w:pPr>
      <w:r w:rsidRPr="00B12A27">
        <w:t>Broader</w:t>
      </w:r>
      <w:r w:rsidR="00915030">
        <w:t>,</w:t>
      </w:r>
      <w:r w:rsidRPr="00B12A27">
        <w:t xml:space="preserve"> deepe</w:t>
      </w:r>
      <w:r w:rsidR="007B4F58">
        <w:t xml:space="preserve">r reforms in </w:t>
      </w:r>
      <w:r w:rsidR="00915030">
        <w:t>IOU</w:t>
      </w:r>
      <w:r w:rsidR="00280413">
        <w:t xml:space="preserve"> programs driven by SB 5295</w:t>
      </w:r>
      <w:r w:rsidR="00DD0712">
        <w:t xml:space="preserve"> (2021)</w:t>
      </w:r>
    </w:p>
    <w:p w14:paraId="658EBA1A" w14:textId="1282899D" w:rsidR="00DD0712" w:rsidRDefault="002E0A22" w:rsidP="00DD0712">
      <w:pPr>
        <w:pStyle w:val="ListBullet"/>
        <w:numPr>
          <w:ilvl w:val="0"/>
          <w:numId w:val="0"/>
        </w:numPr>
      </w:pPr>
      <w:r>
        <w:t>IOUs</w:t>
      </w:r>
      <w:r w:rsidR="00DD0712">
        <w:t xml:space="preserve"> are subject to both Sec. 120 and </w:t>
      </w:r>
      <w:hyperlink r:id="rId42" w:history="1">
        <w:r w:rsidR="00DD0712" w:rsidRPr="00DD0712">
          <w:rPr>
            <w:rStyle w:val="Hyperlink"/>
          </w:rPr>
          <w:t>RCW 80.28.068</w:t>
        </w:r>
      </w:hyperlink>
      <w:r w:rsidR="00DD0712">
        <w:t>. RCW 80.28.068 is driving structural reforms that aim to increase funding, availability, and acc</w:t>
      </w:r>
      <w:r w:rsidR="00214814">
        <w:t>ess to low-income programs. Investor-owned utility</w:t>
      </w:r>
      <w:r w:rsidR="002C3721">
        <w:t xml:space="preserve"> plans</w:t>
      </w:r>
      <w:r w:rsidR="00214814">
        <w:t xml:space="preserve"> under Sec. 120</w:t>
      </w:r>
      <w:r w:rsidR="002C3721">
        <w:t xml:space="preserve"> reflect these structural reforms. </w:t>
      </w:r>
    </w:p>
    <w:p w14:paraId="01815909" w14:textId="3A0B4E2F" w:rsidR="002C3721" w:rsidRDefault="002C3721" w:rsidP="00DD0712">
      <w:pPr>
        <w:pStyle w:val="ListBullet"/>
        <w:numPr>
          <w:ilvl w:val="0"/>
          <w:numId w:val="0"/>
        </w:numPr>
      </w:pPr>
    </w:p>
    <w:p w14:paraId="5EC32568" w14:textId="4A633C4F" w:rsidR="002C3721" w:rsidRDefault="00435421" w:rsidP="00DD0712">
      <w:pPr>
        <w:pStyle w:val="ListBullet"/>
        <w:numPr>
          <w:ilvl w:val="0"/>
          <w:numId w:val="0"/>
        </w:numPr>
      </w:pPr>
      <w:r>
        <w:t>Avista is restructuring its LIRAP program from a grant based program to a discount based program, and updating its definition of low-income to align it with Sec. 120</w:t>
      </w:r>
      <w:r w:rsidR="009F2EED">
        <w:t xml:space="preserve"> and </w:t>
      </w:r>
      <w:hyperlink r:id="rId43" w:history="1">
        <w:r w:rsidR="009F2EED" w:rsidRPr="009F2EED">
          <w:rPr>
            <w:rStyle w:val="Hyperlink"/>
          </w:rPr>
          <w:t>RCW 80.28.68</w:t>
        </w:r>
      </w:hyperlink>
      <w:r w:rsidR="009F2EED">
        <w:t xml:space="preserve">. The latter change </w:t>
      </w:r>
      <w:r>
        <w:t xml:space="preserve">will expand program eligibility. The program will be structured as tiered </w:t>
      </w:r>
      <w:r w:rsidR="00EC265A">
        <w:t xml:space="preserve">bill </w:t>
      </w:r>
      <w:r>
        <w:t xml:space="preserve">discount that will </w:t>
      </w:r>
      <w:r w:rsidR="00EC265A">
        <w:t xml:space="preserve">scale benefits to </w:t>
      </w:r>
      <w:r>
        <w:t xml:space="preserve">energy burden. The redesigned program will utilize self-attestation </w:t>
      </w:r>
      <w:r w:rsidR="00EC265A">
        <w:t>to streamline the income verification process.</w:t>
      </w:r>
      <w:r>
        <w:t xml:space="preserve"> </w:t>
      </w:r>
      <w:r w:rsidR="00EC265A">
        <w:t xml:space="preserve">A limited number of documents will be required to enroll in the program and the company is proposing expanding the timeframe for submitting those documents. Avista will serve as a joint administrator for customer enrollments, which will provide a new point of access for customers seeking assistance. </w:t>
      </w:r>
      <w:r w:rsidR="00BD0CEB">
        <w:t xml:space="preserve">The company </w:t>
      </w:r>
      <w:r w:rsidR="00EC265A" w:rsidRPr="00EC265A">
        <w:t>is in the process of designing targeted conservation programs that will be offered to energy burdened, vulnerable and highly impacted communities.</w:t>
      </w:r>
      <w:r w:rsidR="00EC265A">
        <w:rPr>
          <w:rStyle w:val="FootnoteReference"/>
        </w:rPr>
        <w:footnoteReference w:id="11"/>
      </w:r>
      <w:r w:rsidR="00EC265A" w:rsidRPr="00EC265A">
        <w:t xml:space="preserve"> </w:t>
      </w:r>
      <w:r w:rsidR="00BD0CEB">
        <w:t>Utility staff intend</w:t>
      </w:r>
      <w:r w:rsidR="00EC265A" w:rsidRPr="00EC265A">
        <w:t xml:space="preserve"> to use 2022 as a planning year to develop appropriate strategies and program design concepts, with the roll out of these programs in 2023.</w:t>
      </w:r>
    </w:p>
    <w:p w14:paraId="7D3E795D" w14:textId="2601AA11" w:rsidR="00EC265A" w:rsidRDefault="00EC265A" w:rsidP="00DD0712">
      <w:pPr>
        <w:pStyle w:val="ListBullet"/>
        <w:numPr>
          <w:ilvl w:val="0"/>
          <w:numId w:val="0"/>
        </w:numPr>
      </w:pPr>
    </w:p>
    <w:p w14:paraId="367A705C" w14:textId="2CC8EE03" w:rsidR="00D00034" w:rsidRDefault="00D00034" w:rsidP="003041D1">
      <w:pPr>
        <w:pStyle w:val="Bodycopy1"/>
      </w:pPr>
      <w:r>
        <w:t>PacifiCorp will expand the income thresholds of its programs to the greatest of</w:t>
      </w:r>
      <w:r w:rsidRPr="003041D1">
        <w:t xml:space="preserve"> 80% AMI or 200% FPL. The utility is changing the method of calculating its discount from applying credit to monthly usage in excess of 600 KWh to a straight percentage discount of the net monthly bill. It eliminated an annual cap on its programs, </w:t>
      </w:r>
      <w:r w:rsidRPr="003041D1">
        <w:lastRenderedPageBreak/>
        <w:t xml:space="preserve">which </w:t>
      </w:r>
      <w:r>
        <w:t>will make the program available</w:t>
      </w:r>
      <w:r w:rsidRPr="003041D1">
        <w:t xml:space="preserve"> to all income eli</w:t>
      </w:r>
      <w:r>
        <w:t>gible customers. PacifiCorp has</w:t>
      </w:r>
      <w:r w:rsidRPr="003041D1">
        <w:t xml:space="preserve"> proposed revisions to its Weatherization program. These</w:t>
      </w:r>
      <w:r>
        <w:t xml:space="preserve"> revisions</w:t>
      </w:r>
      <w:r w:rsidRPr="003041D1">
        <w:t xml:space="preserve"> include an increase of funds available for repairs from 15% to 30% of annual eligible measure cost, and</w:t>
      </w:r>
      <w:r>
        <w:t xml:space="preserve"> to</w:t>
      </w:r>
      <w:r w:rsidRPr="003041D1">
        <w:t xml:space="preserve"> permit installation of electric heat to replace permanently installed electric heat, space heaters, or any fuel source except natural </w:t>
      </w:r>
      <w:r>
        <w:t>gas</w:t>
      </w:r>
      <w:r w:rsidRPr="003041D1">
        <w:t xml:space="preserve">. </w:t>
      </w:r>
    </w:p>
    <w:p w14:paraId="28E61835" w14:textId="59976A9E" w:rsidR="00EC265A" w:rsidRDefault="003041D1" w:rsidP="003041D1">
      <w:pPr>
        <w:pStyle w:val="Bodycopy1"/>
      </w:pPr>
      <w:r w:rsidRPr="003041D1">
        <w:t xml:space="preserve">Puget Sound Energy (PSE) is proposing a new low-income bill discount rate program pursuant to </w:t>
      </w:r>
      <w:hyperlink r:id="rId44" w:history="1">
        <w:r w:rsidRPr="009F2EED">
          <w:rPr>
            <w:rStyle w:val="Hyperlink"/>
          </w:rPr>
          <w:t>RCW 80.28.068</w:t>
        </w:r>
      </w:hyperlink>
      <w:r w:rsidRPr="003041D1">
        <w:t>. The program ha</w:t>
      </w:r>
      <w:r>
        <w:t>s been designed to</w:t>
      </w:r>
      <w:r w:rsidRPr="003041D1">
        <w:t xml:space="preserve"> reduce the monthly PSE bill for customers who have the highest energy burdens</w:t>
      </w:r>
      <w:r>
        <w:t xml:space="preserve">. It is also </w:t>
      </w:r>
      <w:r w:rsidRPr="003041D1">
        <w:t>proposing an arrearage management</w:t>
      </w:r>
      <w:r>
        <w:t xml:space="preserve"> program which will forgive one-twelfth of a</w:t>
      </w:r>
      <w:r w:rsidRPr="003041D1">
        <w:t xml:space="preserve"> customer</w:t>
      </w:r>
      <w:r>
        <w:t>'s</w:t>
      </w:r>
      <w:r w:rsidRPr="003041D1">
        <w:t xml:space="preserve"> arrearage with each on-time monthly payment, effectively paying off any past due balance after one y</w:t>
      </w:r>
      <w:r>
        <w:t xml:space="preserve">ear of on </w:t>
      </w:r>
      <w:r w:rsidRPr="003041D1">
        <w:t xml:space="preserve">time payments. </w:t>
      </w:r>
      <w:r>
        <w:t>The company has</w:t>
      </w:r>
      <w:r w:rsidRPr="003041D1">
        <w:t xml:space="preserve"> proposed an i</w:t>
      </w:r>
      <w:r>
        <w:t xml:space="preserve">ncome validation process that </w:t>
      </w:r>
      <w:r w:rsidRPr="003041D1">
        <w:t>relies on limited documentation and customer's self-attestation</w:t>
      </w:r>
      <w:r>
        <w:t xml:space="preserve"> for its PSE Help and bill discount programs</w:t>
      </w:r>
      <w:r w:rsidRPr="003041D1">
        <w:t xml:space="preserve">. It is updating its web translation services to support more languages, and is leveraging findings from its Low Income Needs Assessment and Dept. of Health's cumulative impact assessment to inform program design and customer engagement. </w:t>
      </w:r>
    </w:p>
    <w:p w14:paraId="479782D8" w14:textId="77777777" w:rsidR="00AB3563" w:rsidRDefault="00AB3563" w:rsidP="00AB3563">
      <w:pPr>
        <w:pStyle w:val="ListBullet"/>
        <w:numPr>
          <w:ilvl w:val="0"/>
          <w:numId w:val="0"/>
        </w:numPr>
        <w:ind w:left="360" w:hanging="360"/>
      </w:pPr>
    </w:p>
    <w:p w14:paraId="7FF56821" w14:textId="77777777" w:rsidR="00280413" w:rsidRDefault="00280413" w:rsidP="00041C9D">
      <w:pPr>
        <w:pStyle w:val="ListBullet"/>
        <w:numPr>
          <w:ilvl w:val="0"/>
          <w:numId w:val="0"/>
        </w:numPr>
        <w:ind w:left="360"/>
      </w:pPr>
    </w:p>
    <w:p w14:paraId="04A8A823" w14:textId="77777777" w:rsidR="00280413" w:rsidRDefault="00280413" w:rsidP="00280413">
      <w:pPr>
        <w:pStyle w:val="Bodycopy1"/>
      </w:pPr>
    </w:p>
    <w:p w14:paraId="6BACF6FF" w14:textId="7263D6EE" w:rsidR="00BD538A" w:rsidRDefault="00BD538A" w:rsidP="009E7CB3">
      <w:pPr>
        <w:pStyle w:val="Heading1"/>
      </w:pPr>
      <w:r>
        <w:rPr>
          <w:rFonts w:ascii="Roboto" w:hAnsi="Roboto"/>
          <w:color w:val="555555" w:themeColor="text1"/>
          <w:sz w:val="22"/>
          <w:szCs w:val="22"/>
        </w:rPr>
        <w:br/>
      </w:r>
    </w:p>
    <w:p w14:paraId="7B39515B" w14:textId="3949F020" w:rsidR="00BD538A" w:rsidRDefault="00BD538A" w:rsidP="00BD538A">
      <w:pPr>
        <w:pStyle w:val="Bodycopy1"/>
      </w:pPr>
    </w:p>
    <w:p w14:paraId="16236043" w14:textId="50C65F2D" w:rsidR="003A2A74" w:rsidRDefault="003A2A74" w:rsidP="009E7CB3">
      <w:pPr>
        <w:pStyle w:val="Heading1"/>
      </w:pPr>
    </w:p>
    <w:p w14:paraId="653E16C4" w14:textId="4ECA0299" w:rsidR="003A2A74" w:rsidRDefault="003A2A74" w:rsidP="003A2A74">
      <w:pPr>
        <w:pStyle w:val="Bodycopy1"/>
      </w:pPr>
    </w:p>
    <w:p w14:paraId="36D293A1" w14:textId="77777777" w:rsidR="003A2A74" w:rsidRPr="003A2A74" w:rsidRDefault="003A2A74" w:rsidP="003A2A74">
      <w:pPr>
        <w:pStyle w:val="Bodycopy1"/>
      </w:pPr>
    </w:p>
    <w:p w14:paraId="1E7BA338" w14:textId="22377905" w:rsidR="00915030" w:rsidRDefault="00915030" w:rsidP="009E7CB3">
      <w:pPr>
        <w:pStyle w:val="Heading1"/>
      </w:pPr>
      <w:r>
        <w:br/>
      </w:r>
    </w:p>
    <w:p w14:paraId="452A8657" w14:textId="7002031A" w:rsidR="00915030" w:rsidRDefault="00915030" w:rsidP="00915030">
      <w:pPr>
        <w:pStyle w:val="Bodycopy1"/>
      </w:pPr>
    </w:p>
    <w:p w14:paraId="183DF3BC" w14:textId="41763855" w:rsidR="009F2EED" w:rsidRDefault="009F2EED" w:rsidP="00915030">
      <w:pPr>
        <w:pStyle w:val="Bodycopy1"/>
      </w:pPr>
    </w:p>
    <w:p w14:paraId="6F5BFB3A" w14:textId="77777777" w:rsidR="009F2EED" w:rsidRPr="00915030" w:rsidRDefault="009F2EED" w:rsidP="00915030">
      <w:pPr>
        <w:pStyle w:val="Bodycopy1"/>
      </w:pPr>
    </w:p>
    <w:p w14:paraId="27BE60BC" w14:textId="3AEB9091" w:rsidR="009F2EED" w:rsidRDefault="009F2EED" w:rsidP="009E7CB3">
      <w:pPr>
        <w:pStyle w:val="Heading1"/>
      </w:pPr>
    </w:p>
    <w:p w14:paraId="7A15CF02" w14:textId="77777777" w:rsidR="009F2EED" w:rsidRPr="009F2EED" w:rsidRDefault="009F2EED" w:rsidP="009F2EED">
      <w:pPr>
        <w:pStyle w:val="Bodycopy1"/>
      </w:pPr>
    </w:p>
    <w:p w14:paraId="7C447767" w14:textId="74E59CD4" w:rsidR="007F63E9" w:rsidRPr="009E7CB3" w:rsidRDefault="007F63E9" w:rsidP="009E7CB3">
      <w:pPr>
        <w:pStyle w:val="Heading1"/>
      </w:pPr>
      <w:bookmarkStart w:id="5" w:name="_Toc112748065"/>
      <w:r w:rsidRPr="007F63E9">
        <w:lastRenderedPageBreak/>
        <w:t>Current</w:t>
      </w:r>
      <w:r>
        <w:t xml:space="preserve"> Expenditures on Assistance Programs</w:t>
      </w:r>
      <w:bookmarkEnd w:id="5"/>
    </w:p>
    <w:p w14:paraId="69A59ACF" w14:textId="77777777" w:rsidR="007F63E9" w:rsidRDefault="00C44470" w:rsidP="007F63E9">
      <w:pPr>
        <w:pStyle w:val="Bodycopy1"/>
      </w:pPr>
      <w:r>
        <w:t>(See expenditures spreadsheet)</w:t>
      </w:r>
    </w:p>
    <w:p w14:paraId="1130E2B9" w14:textId="77777777" w:rsidR="007C0B1B" w:rsidRDefault="007C0B1B" w:rsidP="007F63E9">
      <w:pPr>
        <w:pStyle w:val="Bodycopy1"/>
      </w:pPr>
    </w:p>
    <w:p w14:paraId="1B769FC9" w14:textId="77777777" w:rsidR="007C0B1B" w:rsidRDefault="007C0B1B" w:rsidP="007F63E9">
      <w:pPr>
        <w:pStyle w:val="Bodycopy1"/>
      </w:pPr>
    </w:p>
    <w:p w14:paraId="30DCADEC" w14:textId="77777777" w:rsidR="007C0B1B" w:rsidRDefault="007C0B1B" w:rsidP="007F63E9">
      <w:pPr>
        <w:pStyle w:val="Bodycopy1"/>
      </w:pPr>
    </w:p>
    <w:p w14:paraId="1D0910A7" w14:textId="77777777" w:rsidR="007C0B1B" w:rsidRDefault="007C0B1B" w:rsidP="007F63E9">
      <w:pPr>
        <w:pStyle w:val="Bodycopy1"/>
      </w:pPr>
    </w:p>
    <w:p w14:paraId="7FD088F1" w14:textId="77777777" w:rsidR="007C0B1B" w:rsidRDefault="007C0B1B" w:rsidP="007F63E9">
      <w:pPr>
        <w:pStyle w:val="Bodycopy1"/>
      </w:pPr>
    </w:p>
    <w:p w14:paraId="7E22812E" w14:textId="77777777" w:rsidR="007C0B1B" w:rsidRDefault="007C0B1B" w:rsidP="007F63E9">
      <w:pPr>
        <w:pStyle w:val="Bodycopy1"/>
      </w:pPr>
    </w:p>
    <w:p w14:paraId="0CC2B6D4" w14:textId="77777777" w:rsidR="007C0B1B" w:rsidRDefault="007C0B1B" w:rsidP="007F63E9">
      <w:pPr>
        <w:pStyle w:val="Bodycopy1"/>
      </w:pPr>
    </w:p>
    <w:p w14:paraId="24EC92E6" w14:textId="77777777" w:rsidR="007C0B1B" w:rsidRDefault="007C0B1B" w:rsidP="007F63E9">
      <w:pPr>
        <w:pStyle w:val="Bodycopy1"/>
      </w:pPr>
    </w:p>
    <w:p w14:paraId="22CC37A8" w14:textId="77777777" w:rsidR="007C0B1B" w:rsidRDefault="007C0B1B" w:rsidP="007F63E9">
      <w:pPr>
        <w:pStyle w:val="Bodycopy1"/>
      </w:pPr>
    </w:p>
    <w:p w14:paraId="0F7FE10E" w14:textId="77777777" w:rsidR="007C0B1B" w:rsidRDefault="007C0B1B" w:rsidP="007F63E9">
      <w:pPr>
        <w:pStyle w:val="Bodycopy1"/>
      </w:pPr>
    </w:p>
    <w:p w14:paraId="37E99254" w14:textId="77777777" w:rsidR="007C0B1B" w:rsidRDefault="007C0B1B" w:rsidP="007F63E9">
      <w:pPr>
        <w:pStyle w:val="Bodycopy1"/>
      </w:pPr>
    </w:p>
    <w:p w14:paraId="169F7BDB" w14:textId="77777777" w:rsidR="007C0B1B" w:rsidRDefault="007C0B1B" w:rsidP="007F63E9">
      <w:pPr>
        <w:pStyle w:val="Bodycopy1"/>
      </w:pPr>
    </w:p>
    <w:p w14:paraId="7F5F4424" w14:textId="77777777" w:rsidR="007C0B1B" w:rsidRDefault="007C0B1B" w:rsidP="007F63E9">
      <w:pPr>
        <w:pStyle w:val="Bodycopy1"/>
      </w:pPr>
    </w:p>
    <w:p w14:paraId="66A2F5F1" w14:textId="77777777" w:rsidR="00F77F69" w:rsidRDefault="00F77F69" w:rsidP="007F63E9">
      <w:pPr>
        <w:pStyle w:val="Heading1"/>
      </w:pPr>
    </w:p>
    <w:p w14:paraId="761CF90D" w14:textId="77777777" w:rsidR="00F77F69" w:rsidRDefault="00F77F69" w:rsidP="007F63E9">
      <w:pPr>
        <w:pStyle w:val="Heading1"/>
      </w:pPr>
    </w:p>
    <w:p w14:paraId="1FFFD2D2" w14:textId="1F2D7B6E" w:rsidR="00F77F69" w:rsidRDefault="00F77F69" w:rsidP="007F63E9">
      <w:pPr>
        <w:pStyle w:val="Heading1"/>
      </w:pPr>
    </w:p>
    <w:p w14:paraId="2EE4DB11" w14:textId="6C17BE42" w:rsidR="00F77F69" w:rsidRDefault="00F77F69" w:rsidP="00F77F69">
      <w:pPr>
        <w:pStyle w:val="Bodycopy1"/>
      </w:pPr>
    </w:p>
    <w:p w14:paraId="65EAE41C" w14:textId="65AA5E05" w:rsidR="00F77F69" w:rsidRDefault="00F77F69" w:rsidP="00F77F69">
      <w:pPr>
        <w:pStyle w:val="Bodycopy1"/>
      </w:pPr>
    </w:p>
    <w:p w14:paraId="53E5DDC7" w14:textId="77777777" w:rsidR="00F77F69" w:rsidRPr="00F77F69" w:rsidRDefault="00F77F69" w:rsidP="00F77F69">
      <w:pPr>
        <w:pStyle w:val="Bodycopy1"/>
      </w:pPr>
    </w:p>
    <w:p w14:paraId="51EBB397" w14:textId="6CEECB72" w:rsidR="007F63E9" w:rsidRDefault="007F63E9" w:rsidP="007F63E9">
      <w:pPr>
        <w:pStyle w:val="Heading1"/>
      </w:pPr>
      <w:bookmarkStart w:id="6" w:name="_Toc112748066"/>
      <w:r>
        <w:lastRenderedPageBreak/>
        <w:t>Outreach and Enrollment</w:t>
      </w:r>
      <w:bookmarkEnd w:id="6"/>
    </w:p>
    <w:p w14:paraId="5A55951A" w14:textId="77777777" w:rsidR="00053747" w:rsidRDefault="00272FBB" w:rsidP="00C44470">
      <w:pPr>
        <w:pStyle w:val="Heading2"/>
      </w:pPr>
      <w:r>
        <w:t>Utility O</w:t>
      </w:r>
      <w:r w:rsidR="007F63E9">
        <w:t xml:space="preserve">utreach </w:t>
      </w:r>
      <w:r w:rsidR="00A179FC">
        <w:t xml:space="preserve">and Enrollment </w:t>
      </w:r>
      <w:r w:rsidR="007F63E9">
        <w:t>Strategies</w:t>
      </w:r>
    </w:p>
    <w:p w14:paraId="504759CA" w14:textId="306FB254" w:rsidR="00294FF0" w:rsidRDefault="00294FF0" w:rsidP="002A078F">
      <w:pPr>
        <w:pStyle w:val="Bodycopy1Indent"/>
        <w:ind w:left="0"/>
      </w:pPr>
      <w:r>
        <w:t>S</w:t>
      </w:r>
      <w:r w:rsidR="00D00034">
        <w:t>ec.</w:t>
      </w:r>
      <w:r w:rsidR="002A078F">
        <w:t xml:space="preserve"> 120 </w:t>
      </w:r>
      <w:r w:rsidR="00D00034">
        <w:t>challenges utilities to take a</w:t>
      </w:r>
      <w:r w:rsidR="002A078F">
        <w:t xml:space="preserve"> more intentional, data-driven approach to community engagement and enrollment than</w:t>
      </w:r>
      <w:r w:rsidR="000B16C6">
        <w:t xml:space="preserve"> they</w:t>
      </w:r>
      <w:r w:rsidR="002A078F">
        <w:t xml:space="preserve"> have </w:t>
      </w:r>
      <w:r w:rsidR="009F2EED">
        <w:t>previously</w:t>
      </w:r>
      <w:r w:rsidR="00BD0CEB">
        <w:t>. The statute</w:t>
      </w:r>
      <w:r w:rsidR="00D00034">
        <w:t xml:space="preserve"> asks utilities to assess their ability to identify</w:t>
      </w:r>
      <w:r w:rsidRPr="00294FF0">
        <w:t xml:space="preserve"> e</w:t>
      </w:r>
      <w:r w:rsidR="00D00034">
        <w:t>ligible households, offer linguistically and culturally appropriate enrollment campaigns, and make</w:t>
      </w:r>
      <w:r w:rsidRPr="00294FF0">
        <w:t xml:space="preserve"> enrollment </w:t>
      </w:r>
      <w:r w:rsidR="00D00034">
        <w:t>easy and fast.</w:t>
      </w:r>
      <w:r w:rsidR="000B16C6">
        <w:t xml:space="preserve"> Utilities have never kept demographic data on their customers and traditionally left income-verification and outreach to a few trusted community organizations, mainly community action part</w:t>
      </w:r>
      <w:r w:rsidR="00DC62C6">
        <w:t>nerships (CAPs). Improving data, involving</w:t>
      </w:r>
      <w:r w:rsidR="000B16C6">
        <w:t xml:space="preserve"> communities that have historically not been invited to p</w:t>
      </w:r>
      <w:r w:rsidR="00DC62C6">
        <w:t>articipate in utility decision-making processes</w:t>
      </w:r>
      <w:r w:rsidR="000B16C6">
        <w:t>,</w:t>
      </w:r>
      <w:r w:rsidR="00DC62C6">
        <w:t xml:space="preserve"> and accessing existing state and federal resources to identify eligible households</w:t>
      </w:r>
      <w:r w:rsidR="000B16C6">
        <w:t xml:space="preserve"> </w:t>
      </w:r>
      <w:r w:rsidR="00DC62C6">
        <w:t xml:space="preserve">and streamline enrollment will be important </w:t>
      </w:r>
      <w:r w:rsidR="009F2EED">
        <w:t>next steps toward making</w:t>
      </w:r>
      <w:r w:rsidR="00DC62C6">
        <w:t xml:space="preserve"> programs accessible.   </w:t>
      </w:r>
    </w:p>
    <w:p w14:paraId="34B6A36A" w14:textId="59EC9068" w:rsidR="002C5630" w:rsidRDefault="00DC62C6" w:rsidP="002C5630">
      <w:pPr>
        <w:pStyle w:val="Heading3"/>
      </w:pPr>
      <w:r>
        <w:t>Traditional o</w:t>
      </w:r>
      <w:r w:rsidR="001A7F16">
        <w:t>utreach and enrollment tools</w:t>
      </w:r>
    </w:p>
    <w:p w14:paraId="5DA7E675" w14:textId="77777777" w:rsidR="002C5630" w:rsidRPr="002C5630" w:rsidRDefault="002C5630" w:rsidP="002C5630">
      <w:pPr>
        <w:pStyle w:val="Subheading1"/>
      </w:pPr>
      <w:r>
        <w:t>CAPs</w:t>
      </w:r>
    </w:p>
    <w:p w14:paraId="0D410540" w14:textId="0D3082B8" w:rsidR="005B0FCF" w:rsidRDefault="005B0FCF" w:rsidP="005B0FCF">
      <w:pPr>
        <w:pStyle w:val="Bodycopy1"/>
      </w:pPr>
      <w:r>
        <w:t>Electric u</w:t>
      </w:r>
      <w:r w:rsidR="00A179FC">
        <w:t xml:space="preserve">tilities have traditionally relied on community action partnerships (CAPs) to conduct outreach and verify the income status of low-income households. CAPs </w:t>
      </w:r>
      <w:r w:rsidR="00C419C4">
        <w:t xml:space="preserve">help </w:t>
      </w:r>
      <w:r w:rsidR="00A179FC">
        <w:t>administer federal</w:t>
      </w:r>
      <w:r w:rsidR="00C419C4">
        <w:t xml:space="preserve"> and state</w:t>
      </w:r>
      <w:r w:rsidR="00A179FC">
        <w:t xml:space="preserve"> low-income assistance programs</w:t>
      </w:r>
      <w:r w:rsidR="002A078F">
        <w:t xml:space="preserve">. </w:t>
      </w:r>
      <w:r w:rsidR="00A179FC">
        <w:t xml:space="preserve">Their regular interactions </w:t>
      </w:r>
      <w:r w:rsidR="00B06D69">
        <w:t xml:space="preserve">with low-income households </w:t>
      </w:r>
      <w:r w:rsidR="002A078F">
        <w:t xml:space="preserve">and presence in all 39 Washington counties </w:t>
      </w:r>
      <w:r w:rsidR="00B06D69">
        <w:t>make</w:t>
      </w:r>
      <w:r w:rsidR="00A179FC">
        <w:t xml:space="preserve"> them a natural fit for identifying eligible par</w:t>
      </w:r>
      <w:r w:rsidR="00BD0CEB">
        <w:t xml:space="preserve">ticipants for </w:t>
      </w:r>
      <w:r w:rsidR="009F2EED">
        <w:t>utility programs. However, CAPs</w:t>
      </w:r>
      <w:r w:rsidR="00BD0CEB">
        <w:t xml:space="preserve"> can be </w:t>
      </w:r>
      <w:r w:rsidR="00C419C4">
        <w:t>understaffed</w:t>
      </w:r>
      <w:r w:rsidR="00BD0CEB">
        <w:t xml:space="preserve"> and overwhelmed with federal and state programs and requirements, leading to long wait times and delays in processing</w:t>
      </w:r>
      <w:r w:rsidR="009F2EED">
        <w:t xml:space="preserve"> utility program</w:t>
      </w:r>
      <w:r w:rsidR="00BD0CEB">
        <w:t xml:space="preserve"> applications</w:t>
      </w:r>
      <w:r w:rsidR="00C419C4">
        <w:t>. The</w:t>
      </w:r>
      <w:r w:rsidR="00BD0CEB">
        <w:t xml:space="preserve"> requirement to see a </w:t>
      </w:r>
      <w:r>
        <w:t xml:space="preserve">CAP </w:t>
      </w:r>
      <w:r w:rsidR="00BD0CEB">
        <w:t xml:space="preserve">also </w:t>
      </w:r>
      <w:r>
        <w:t>adds a</w:t>
      </w:r>
      <w:r w:rsidR="00BD0CEB">
        <w:t xml:space="preserve">n additional </w:t>
      </w:r>
      <w:r>
        <w:t xml:space="preserve">step </w:t>
      </w:r>
      <w:r w:rsidR="00BD0CEB">
        <w:t>in the application process</w:t>
      </w:r>
      <w:r>
        <w:t>.</w:t>
      </w:r>
      <w:r w:rsidR="009F2EED">
        <w:t xml:space="preserve"> Those households that do get an appointment may wait in line at a CAP only to</w:t>
      </w:r>
      <w:r>
        <w:t xml:space="preserve"> fill out a large stack of paperwork. Many households ma</w:t>
      </w:r>
      <w:r w:rsidR="009F2EED">
        <w:t>y</w:t>
      </w:r>
      <w:r>
        <w:t xml:space="preserve"> not hav</w:t>
      </w:r>
      <w:r w:rsidR="00C419C4">
        <w:t>e</w:t>
      </w:r>
      <w:r w:rsidR="009F2EED">
        <w:t xml:space="preserve"> the</w:t>
      </w:r>
      <w:r w:rsidR="00C419C4">
        <w:t xml:space="preserve"> time or</w:t>
      </w:r>
      <w:r>
        <w:t xml:space="preserve"> </w:t>
      </w:r>
      <w:r w:rsidR="00C419C4">
        <w:t xml:space="preserve">wherewithal to submit the required paperwork and therefore </w:t>
      </w:r>
      <w:r w:rsidR="009F2EED">
        <w:t xml:space="preserve">won't receive needed </w:t>
      </w:r>
      <w:r w:rsidR="00C419C4">
        <w:t>assistance</w:t>
      </w:r>
      <w:r>
        <w:t xml:space="preserve">.  </w:t>
      </w:r>
    </w:p>
    <w:p w14:paraId="12732D90" w14:textId="77777777" w:rsidR="002C5630" w:rsidRDefault="002C5630" w:rsidP="002C5630">
      <w:pPr>
        <w:pStyle w:val="Subheading1"/>
      </w:pPr>
      <w:r>
        <w:t>Local organizations and community events</w:t>
      </w:r>
    </w:p>
    <w:p w14:paraId="67A7A176" w14:textId="47D3E266" w:rsidR="002C5630" w:rsidRDefault="005B0FCF" w:rsidP="005B0FCF">
      <w:pPr>
        <w:pStyle w:val="Bodycopy1"/>
      </w:pPr>
      <w:r>
        <w:t xml:space="preserve">Many utilities </w:t>
      </w:r>
      <w:r w:rsidR="008B3A6F">
        <w:t xml:space="preserve">report </w:t>
      </w:r>
      <w:r>
        <w:t xml:space="preserve">partnerships with local organizations </w:t>
      </w:r>
      <w:r w:rsidR="008B3A6F">
        <w:t xml:space="preserve">to conduct outreach for their programs. Municipal utilities and cooperatives reported partnering with local organizations, such as churches, schools, libraries, and other municipal agencies, to steer customers to utility assistance programs. Similarly, PUDs reported </w:t>
      </w:r>
      <w:r w:rsidR="00272FBB">
        <w:t>using</w:t>
      </w:r>
      <w:r w:rsidR="008B3A6F">
        <w:t xml:space="preserve"> countywide organizations and events, such as county fairs and garden shows, to promote their energy assistance programs.</w:t>
      </w:r>
      <w:r w:rsidR="006417C5">
        <w:t xml:space="preserve"> These organizations may be resources for some communities, but not others. It is important that utilities reach out to </w:t>
      </w:r>
      <w:r w:rsidR="009F2EED">
        <w:t>community organizations that</w:t>
      </w:r>
      <w:r w:rsidR="006417C5">
        <w:t xml:space="preserve"> have</w:t>
      </w:r>
      <w:r w:rsidR="009F2EED">
        <w:t xml:space="preserve"> not traditionally</w:t>
      </w:r>
      <w:r w:rsidR="006417C5">
        <w:t xml:space="preserve"> bee</w:t>
      </w:r>
      <w:r w:rsidR="009F2EED">
        <w:t>n part of their outreach efforts</w:t>
      </w:r>
      <w:r w:rsidR="006417C5">
        <w:t xml:space="preserve">. </w:t>
      </w:r>
    </w:p>
    <w:p w14:paraId="7F98D79D" w14:textId="1698D272" w:rsidR="00DC62C6" w:rsidRDefault="009F2EED" w:rsidP="00DC62C6">
      <w:pPr>
        <w:pStyle w:val="Heading3"/>
      </w:pPr>
      <w:r>
        <w:t>Additional</w:t>
      </w:r>
      <w:r w:rsidR="00232E99">
        <w:t xml:space="preserve"> tools</w:t>
      </w:r>
      <w:r w:rsidR="00DC62C6">
        <w:t xml:space="preserve"> </w:t>
      </w:r>
    </w:p>
    <w:p w14:paraId="24EA15E5" w14:textId="57660348" w:rsidR="002C5630" w:rsidRDefault="002C5630" w:rsidP="002C5630">
      <w:pPr>
        <w:pStyle w:val="Subheading1"/>
      </w:pPr>
      <w:r>
        <w:t>Mapping tools</w:t>
      </w:r>
    </w:p>
    <w:p w14:paraId="46D03D53" w14:textId="5721423B" w:rsidR="006417C5" w:rsidRDefault="002E0A22" w:rsidP="006417C5">
      <w:pPr>
        <w:pStyle w:val="Bodycopy1"/>
      </w:pPr>
      <w:r>
        <w:t>IOUs</w:t>
      </w:r>
      <w:r w:rsidR="00272FBB">
        <w:t xml:space="preserve"> and some </w:t>
      </w:r>
      <w:r w:rsidR="009F2EED">
        <w:t xml:space="preserve">COUs </w:t>
      </w:r>
      <w:r w:rsidR="00272FBB">
        <w:t xml:space="preserve">have since the enactment of Sec. 120 created mapping tools to identify low-income households using </w:t>
      </w:r>
      <w:r w:rsidR="00F254B6">
        <w:t>utility bill</w:t>
      </w:r>
      <w:r w:rsidR="00272FBB">
        <w:t xml:space="preserve"> information, Census data,</w:t>
      </w:r>
      <w:r w:rsidR="00F254B6">
        <w:t xml:space="preserve"> and</w:t>
      </w:r>
      <w:r w:rsidR="00272FBB">
        <w:t xml:space="preserve"> purchased third party data.</w:t>
      </w:r>
      <w:bookmarkStart w:id="7" w:name="_GoBack"/>
      <w:bookmarkEnd w:id="7"/>
      <w:r w:rsidR="00272FBB">
        <w:t xml:space="preserve"> </w:t>
      </w:r>
      <w:r w:rsidR="002C5630">
        <w:t>These tools provide utilities</w:t>
      </w:r>
      <w:r w:rsidR="00F254B6">
        <w:t xml:space="preserve"> insights</w:t>
      </w:r>
      <w:r w:rsidR="002C5630">
        <w:t xml:space="preserve"> into</w:t>
      </w:r>
      <w:r w:rsidR="00F254B6">
        <w:t xml:space="preserve"> the</w:t>
      </w:r>
      <w:r w:rsidR="002C5630">
        <w:t xml:space="preserve"> demographics and energy burden </w:t>
      </w:r>
      <w:r w:rsidR="00F254B6">
        <w:t xml:space="preserve">data </w:t>
      </w:r>
      <w:r w:rsidR="002C5630">
        <w:t>of its customers</w:t>
      </w:r>
      <w:r w:rsidR="00F254B6">
        <w:t xml:space="preserve">, which allows these utilities to better tailor and target their programs to their low-income households. The downside of these tools is that they can be </w:t>
      </w:r>
      <w:r w:rsidR="002C5630">
        <w:t>expensive for individual utilities to create</w:t>
      </w:r>
      <w:r w:rsidR="00F254B6">
        <w:t xml:space="preserve"> and maintain</w:t>
      </w:r>
      <w:r w:rsidR="000D46BD">
        <w:t xml:space="preserve"> and </w:t>
      </w:r>
      <w:r w:rsidR="009F2EED">
        <w:t>may not</w:t>
      </w:r>
      <w:r w:rsidR="000D46BD">
        <w:t xml:space="preserve"> share the same assumptions about </w:t>
      </w:r>
      <w:r w:rsidR="000D46BD">
        <w:lastRenderedPageBreak/>
        <w:t>household energy burden</w:t>
      </w:r>
      <w:r w:rsidR="002C5630">
        <w:t>.</w:t>
      </w:r>
      <w:r w:rsidR="00DC62C6">
        <w:t xml:space="preserve"> </w:t>
      </w:r>
      <w:r w:rsidR="00F254B6">
        <w:t>Some utilities have found ways of using in-house resources</w:t>
      </w:r>
      <w:r w:rsidR="00DC62C6">
        <w:t xml:space="preserve"> and the DOE LEAD Tool</w:t>
      </w:r>
      <w:r w:rsidR="00F254B6">
        <w:t xml:space="preserve"> to accomplish the s</w:t>
      </w:r>
      <w:r w:rsidR="009F2EED">
        <w:t xml:space="preserve">imilar </w:t>
      </w:r>
      <w:r w:rsidR="00F254B6">
        <w:t>object</w:t>
      </w:r>
      <w:r w:rsidR="009F2EED">
        <w:t>ives</w:t>
      </w:r>
      <w:r w:rsidR="00F254B6">
        <w:t>.</w:t>
      </w:r>
      <w:r w:rsidR="009F2EED">
        <w:rPr>
          <w:rStyle w:val="FootnoteReference"/>
        </w:rPr>
        <w:footnoteReference w:id="12"/>
      </w:r>
      <w:r w:rsidR="00F254B6">
        <w:t xml:space="preserve"> </w:t>
      </w:r>
    </w:p>
    <w:p w14:paraId="0D241190" w14:textId="7D421D8F" w:rsidR="006417C5" w:rsidRDefault="006417C5" w:rsidP="006417C5">
      <w:pPr>
        <w:pStyle w:val="Subheading1"/>
      </w:pPr>
      <w:r>
        <w:t>Using state and federal program resources to identify eligible households</w:t>
      </w:r>
    </w:p>
    <w:p w14:paraId="4707D2F9" w14:textId="26A27EBA" w:rsidR="006417C5" w:rsidRDefault="006417C5" w:rsidP="006417C5">
      <w:pPr>
        <w:pStyle w:val="Bodycopy1"/>
      </w:pPr>
      <w:r>
        <w:t>Commerce is currently exploring options of using DSHS and the state LIHEAP program to help identify eligible households and streamline enrollment. Its findings will be included in the second draft of this report to be shared at the Sept. 27, 2022 public workshop.</w:t>
      </w:r>
    </w:p>
    <w:p w14:paraId="42E4699B" w14:textId="70AFBCAF" w:rsidR="006417C5" w:rsidRDefault="006417C5" w:rsidP="006417C5">
      <w:pPr>
        <w:pStyle w:val="Heading2"/>
      </w:pPr>
      <w:r>
        <w:t>Additional findings</w:t>
      </w:r>
    </w:p>
    <w:p w14:paraId="20E666C2" w14:textId="28E6212B" w:rsidR="006417C5" w:rsidRPr="006417C5" w:rsidRDefault="006417C5" w:rsidP="006417C5">
      <w:pPr>
        <w:pStyle w:val="Bodycopy1"/>
      </w:pPr>
      <w:r>
        <w:t xml:space="preserve">Sec. 120 requires utilities to </w:t>
      </w:r>
      <w:r w:rsidR="00CB0CDD">
        <w:t>assess</w:t>
      </w:r>
      <w:r>
        <w:t xml:space="preserve"> their</w:t>
      </w:r>
      <w:r w:rsidRPr="006417C5">
        <w:t xml:space="preserve"> outreach strategies used to encourage participation of eligible households, including consult</w:t>
      </w:r>
      <w:r>
        <w:t>ation with commu</w:t>
      </w:r>
      <w:r w:rsidR="009F2EED">
        <w:t>nity organizations and Tribes as appropriate. It also requires utilities to evaluate their comprehensive enrollment campaigns that are linguistically and culturally appropriate to the customers they serve in vulnerable populations.</w:t>
      </w:r>
      <w:r w:rsidR="009F2EED">
        <w:rPr>
          <w:rStyle w:val="FootnoteReference"/>
        </w:rPr>
        <w:footnoteReference w:id="13"/>
      </w:r>
      <w:r w:rsidR="009F2EED">
        <w:t xml:space="preserve"> </w:t>
      </w:r>
    </w:p>
    <w:p w14:paraId="6E3E015E" w14:textId="29E3EE4A" w:rsidR="001E499D" w:rsidRDefault="00323534" w:rsidP="00272FBB">
      <w:pPr>
        <w:pStyle w:val="Heading3"/>
      </w:pPr>
      <w:r>
        <w:t>Consultations with Community-Based O</w:t>
      </w:r>
      <w:r w:rsidR="008461B9">
        <w:t>rganizations</w:t>
      </w:r>
      <w:r w:rsidR="00D463EE">
        <w:t xml:space="preserve"> </w:t>
      </w:r>
    </w:p>
    <w:p w14:paraId="5BC76BEE" w14:textId="19BF7D5D" w:rsidR="00756F8B" w:rsidRDefault="00F57838" w:rsidP="00323534">
      <w:pPr>
        <w:pStyle w:val="Bodycopy1"/>
      </w:pPr>
      <w:r>
        <w:t>T</w:t>
      </w:r>
      <w:r w:rsidR="006417C5">
        <w:t>here are</w:t>
      </w:r>
      <w:r w:rsidR="00D463EE">
        <w:t xml:space="preserve"> distinctly differ</w:t>
      </w:r>
      <w:r>
        <w:t>ent consultation practices</w:t>
      </w:r>
      <w:r w:rsidR="00D463EE">
        <w:t xml:space="preserve"> between </w:t>
      </w:r>
      <w:r w:rsidR="002E0A22">
        <w:t>IOUs</w:t>
      </w:r>
      <w:r w:rsidR="00D463EE">
        <w:t xml:space="preserve"> and most </w:t>
      </w:r>
      <w:r w:rsidR="002E0A22">
        <w:t>COUs</w:t>
      </w:r>
      <w:r w:rsidR="00D463EE">
        <w:t xml:space="preserve">. </w:t>
      </w:r>
      <w:r w:rsidR="002E0A22">
        <w:t>IOUs</w:t>
      </w:r>
      <w:r w:rsidR="00D463EE">
        <w:t xml:space="preserve"> are required to maintain and regularly engage with external community organizations and representatives of low-income communities th</w:t>
      </w:r>
      <w:r w:rsidR="006417C5">
        <w:t>rough energy advisory groups and low-income organizations.</w:t>
      </w:r>
      <w:r w:rsidR="006417C5">
        <w:rPr>
          <w:rStyle w:val="FootnoteReference"/>
        </w:rPr>
        <w:footnoteReference w:id="14"/>
      </w:r>
      <w:r w:rsidR="00D463EE">
        <w:t xml:space="preserve"> </w:t>
      </w:r>
      <w:r w:rsidR="006417C5">
        <w:t xml:space="preserve">All three of the </w:t>
      </w:r>
      <w:r w:rsidR="002E0A22">
        <w:t>IOUs</w:t>
      </w:r>
      <w:r w:rsidR="006417C5">
        <w:t xml:space="preserve"> </w:t>
      </w:r>
      <w:r w:rsidR="00214814">
        <w:t>consulted these advisory groups, which</w:t>
      </w:r>
      <w:r w:rsidR="000654EE">
        <w:t xml:space="preserve"> include members of community-based organizations. From </w:t>
      </w:r>
      <w:r w:rsidR="00214814">
        <w:t>these consultations they gained</w:t>
      </w:r>
      <w:r w:rsidR="000654EE">
        <w:t xml:space="preserve"> insights about the communities they serve and adjusted thei</w:t>
      </w:r>
      <w:r w:rsidR="00214814">
        <w:t>r programs to better serve them</w:t>
      </w:r>
      <w:r w:rsidR="000654EE">
        <w:t xml:space="preserve">.   </w:t>
      </w:r>
    </w:p>
    <w:p w14:paraId="0C84822D" w14:textId="631DB16D" w:rsidR="008461B9" w:rsidRDefault="000D0461" w:rsidP="00323534">
      <w:pPr>
        <w:pStyle w:val="Bodycopy1"/>
      </w:pPr>
      <w:r>
        <w:t xml:space="preserve">The Sec. 120 assessments submitted by </w:t>
      </w:r>
      <w:r w:rsidR="002E0A22">
        <w:t>COU</w:t>
      </w:r>
      <w:r>
        <w:t>s show that COU</w:t>
      </w:r>
      <w:r w:rsidR="000654EE">
        <w:t xml:space="preserve"> consultations with community-based organizations occur less freq</w:t>
      </w:r>
      <w:r w:rsidR="00214814">
        <w:t>uently, are less inclusive</w:t>
      </w:r>
      <w:r w:rsidR="000654EE">
        <w:t xml:space="preserve"> of a diverse set of community-based organizations, and </w:t>
      </w:r>
      <w:r w:rsidR="00214814">
        <w:t>result in fewer program changes tailored to their low-income communities</w:t>
      </w:r>
      <w:r w:rsidR="000654EE">
        <w:t>.</w:t>
      </w:r>
      <w:r w:rsidR="00B16E16">
        <w:t xml:space="preserve"> </w:t>
      </w:r>
      <w:r w:rsidR="002E0A22">
        <w:t>COUs</w:t>
      </w:r>
      <w:r w:rsidR="00B16E16">
        <w:t xml:space="preserve"> are not required to maintain low-income or equity advisory groups, and</w:t>
      </w:r>
      <w:r w:rsidR="000654EE">
        <w:t xml:space="preserve"> </w:t>
      </w:r>
      <w:r w:rsidR="00B16E16">
        <w:t xml:space="preserve">Commerce is unaware of any </w:t>
      </w:r>
      <w:r w:rsidR="002E0A22">
        <w:t>COUs</w:t>
      </w:r>
      <w:r w:rsidR="00B16E16">
        <w:t xml:space="preserve"> that</w:t>
      </w:r>
      <w:r w:rsidR="000654EE">
        <w:t xml:space="preserve"> maintain</w:t>
      </w:r>
      <w:r w:rsidR="00B16E16">
        <w:t xml:space="preserve"> and regularly engage with</w:t>
      </w:r>
      <w:r w:rsidR="000654EE">
        <w:t xml:space="preserve"> low-income or equity advisory groups.</w:t>
      </w:r>
      <w:r w:rsidR="009F2EED">
        <w:rPr>
          <w:rStyle w:val="FootnoteReference"/>
        </w:rPr>
        <w:footnoteReference w:id="15"/>
      </w:r>
      <w:r w:rsidR="000654EE">
        <w:t xml:space="preserve"> Like </w:t>
      </w:r>
      <w:r w:rsidR="002E0A22">
        <w:t>IOUs</w:t>
      </w:r>
      <w:r w:rsidR="000654EE">
        <w:t xml:space="preserve">, </w:t>
      </w:r>
      <w:r w:rsidR="002E0A22">
        <w:t>COUs</w:t>
      </w:r>
      <w:r w:rsidR="000654EE">
        <w:t xml:space="preserve"> interact with their traditional community partners</w:t>
      </w:r>
      <w:r w:rsidR="00E21D33">
        <w:t>, like CAPs,</w:t>
      </w:r>
      <w:r w:rsidR="000654EE">
        <w:t xml:space="preserve"> who administer their programs on a day-to-day basis</w:t>
      </w:r>
      <w:r w:rsidR="00911AB9">
        <w:t xml:space="preserve">. </w:t>
      </w:r>
      <w:r w:rsidR="00214814">
        <w:t>A few</w:t>
      </w:r>
      <w:r w:rsidR="0012631F">
        <w:t xml:space="preserve"> </w:t>
      </w:r>
      <w:r w:rsidR="002E0A22">
        <w:t>COUs</w:t>
      </w:r>
      <w:r w:rsidR="00214814">
        <w:t xml:space="preserve"> ho</w:t>
      </w:r>
      <w:r w:rsidR="0012631F">
        <w:t xml:space="preserve">ld </w:t>
      </w:r>
      <w:r w:rsidR="000654EE">
        <w:t>annual</w:t>
      </w:r>
      <w:r w:rsidR="00214814">
        <w:t xml:space="preserve"> or semi-annual</w:t>
      </w:r>
      <w:r w:rsidR="0012631F">
        <w:t xml:space="preserve"> meetings with community partners to gather input for their energy assistance programs.  </w:t>
      </w:r>
    </w:p>
    <w:p w14:paraId="52829D5D" w14:textId="77777777" w:rsidR="00323534" w:rsidRDefault="008461B9" w:rsidP="00323534">
      <w:pPr>
        <w:pStyle w:val="Heading3"/>
      </w:pPr>
      <w:r>
        <w:t>Consultations with Tribes</w:t>
      </w:r>
    </w:p>
    <w:p w14:paraId="77DBC848" w14:textId="421C48E6" w:rsidR="009D4B74" w:rsidRDefault="00BA23FE" w:rsidP="008461B9">
      <w:pPr>
        <w:pStyle w:val="Bodycopy1"/>
      </w:pPr>
      <w:r>
        <w:t xml:space="preserve">Sec. 120 requires utilities to assess the outreach strategies utilities use to encourage participation from eligible Tribal members if applicable. </w:t>
      </w:r>
      <w:r w:rsidR="009D4B74">
        <w:t xml:space="preserve">Most utilities did not mention outreach strategies used to encourage participation of Tribes. </w:t>
      </w:r>
      <w:r w:rsidR="00B16E16">
        <w:t>PSE</w:t>
      </w:r>
      <w:r w:rsidR="009D4B74">
        <w:t xml:space="preserve"> mentioned that it has launched a Tribal no-cost Home Energy Assessment and small business direct install initiatives with </w:t>
      </w:r>
      <w:r w:rsidR="00176987">
        <w:t>Lumm</w:t>
      </w:r>
      <w:r w:rsidR="009D4B74">
        <w:t>i Nation in Whatcom County. Klickitat</w:t>
      </w:r>
      <w:r w:rsidR="009F2EED">
        <w:t xml:space="preserve"> County</w:t>
      </w:r>
      <w:r w:rsidR="009D4B74">
        <w:t xml:space="preserve"> PUD</w:t>
      </w:r>
      <w:r w:rsidR="00AD2F23">
        <w:t xml:space="preserve"> No 1</w:t>
      </w:r>
      <w:r w:rsidR="009D4B74">
        <w:t xml:space="preserve"> and Mason</w:t>
      </w:r>
      <w:r w:rsidR="009F2EED">
        <w:t xml:space="preserve"> County</w:t>
      </w:r>
      <w:r w:rsidR="009D4B74">
        <w:t xml:space="preserve"> PUD</w:t>
      </w:r>
      <w:r w:rsidR="00176987">
        <w:t xml:space="preserve"> </w:t>
      </w:r>
      <w:r w:rsidR="009F2EED">
        <w:t xml:space="preserve">No </w:t>
      </w:r>
      <w:r w:rsidR="00AD2F23">
        <w:t xml:space="preserve">1 </w:t>
      </w:r>
      <w:r w:rsidR="00176987">
        <w:t>mentioned they currently work with Tribes and will con</w:t>
      </w:r>
      <w:r w:rsidR="009F2EED">
        <w:t>tinue to do so. Okanogan County PUD No</w:t>
      </w:r>
      <w:r w:rsidR="00176987">
        <w:t xml:space="preserve"> 1 mentioned that</w:t>
      </w:r>
      <w:r w:rsidR="007E2404">
        <w:t xml:space="preserve"> it </w:t>
      </w:r>
      <w:r w:rsidR="00B16E16">
        <w:t xml:space="preserve">is </w:t>
      </w:r>
      <w:r w:rsidR="007E2404">
        <w:t>working toward connecting with T</w:t>
      </w:r>
      <w:r w:rsidR="001A010E">
        <w:t xml:space="preserve">ribes. </w:t>
      </w:r>
      <w:r w:rsidR="00E71C73">
        <w:t xml:space="preserve">Pend Oreille </w:t>
      </w:r>
      <w:r w:rsidR="009F2EED">
        <w:t xml:space="preserve">County </w:t>
      </w:r>
      <w:r w:rsidR="00E71C73">
        <w:t xml:space="preserve">PUD </w:t>
      </w:r>
      <w:r w:rsidR="00AD2F23">
        <w:t xml:space="preserve">No 1 </w:t>
      </w:r>
      <w:r w:rsidR="00E71C73">
        <w:t xml:space="preserve">noted that the </w:t>
      </w:r>
      <w:r w:rsidR="00090CB1">
        <w:t>Kalispell</w:t>
      </w:r>
      <w:r w:rsidR="00E71C73">
        <w:t xml:space="preserve"> Tribe is a highly impacted community and will be a</w:t>
      </w:r>
      <w:r w:rsidR="00B16E16">
        <w:t xml:space="preserve"> partner </w:t>
      </w:r>
      <w:r w:rsidR="00E71C73">
        <w:t>for future conservation programs.</w:t>
      </w:r>
      <w:r w:rsidR="00090CB1" w:rsidRPr="00090CB1">
        <w:t xml:space="preserve"> Lewis County </w:t>
      </w:r>
      <w:r w:rsidR="00006EEB">
        <w:t>PUD</w:t>
      </w:r>
      <w:r w:rsidR="00AD2F23">
        <w:t xml:space="preserve"> No 1</w:t>
      </w:r>
      <w:r w:rsidR="00006EEB">
        <w:t xml:space="preserve"> </w:t>
      </w:r>
      <w:r w:rsidR="00090CB1">
        <w:t>noted</w:t>
      </w:r>
      <w:r w:rsidR="00090CB1" w:rsidRPr="00090CB1">
        <w:t xml:space="preserve"> it had no Tribes in its service area.</w:t>
      </w:r>
    </w:p>
    <w:p w14:paraId="459F67A5" w14:textId="77777777" w:rsidR="001E499D" w:rsidRDefault="00323534" w:rsidP="00323534">
      <w:pPr>
        <w:pStyle w:val="Heading3"/>
      </w:pPr>
      <w:r>
        <w:lastRenderedPageBreak/>
        <w:t xml:space="preserve">Comprehensive </w:t>
      </w:r>
      <w:r w:rsidR="001E499D">
        <w:t>Enrollment Strategies</w:t>
      </w:r>
      <w:r>
        <w:t xml:space="preserve"> for Vulnerable Populations</w:t>
      </w:r>
    </w:p>
    <w:p w14:paraId="0F57F797" w14:textId="77777777" w:rsidR="007E2404" w:rsidRDefault="00BA23FE" w:rsidP="007F63E9">
      <w:pPr>
        <w:pStyle w:val="Bodycopy1"/>
      </w:pPr>
      <w:r>
        <w:t xml:space="preserve">Sec. 120 requires utilities to assess their </w:t>
      </w:r>
      <w:r w:rsidRPr="00BA23FE">
        <w:t>comprehensive enrollment campaigns that are linguistically and culturally appropriate to the customers they serve in vulnerable populations</w:t>
      </w:r>
      <w:r w:rsidR="00CA262A">
        <w:t>.</w:t>
      </w:r>
      <w:r w:rsidR="007E2404">
        <w:t xml:space="preserve"> Most utilities reported having </w:t>
      </w:r>
      <w:r w:rsidR="00C65F86">
        <w:t>bilingual or multilingual outreach materials and</w:t>
      </w:r>
      <w:r w:rsidR="007E2404">
        <w:t xml:space="preserve"> interpenetration services. Those that did not often indicated that they w</w:t>
      </w:r>
      <w:r w:rsidR="00E71C73">
        <w:t>ere developing these materials.</w:t>
      </w:r>
    </w:p>
    <w:p w14:paraId="3CC21CBE" w14:textId="77777777" w:rsidR="007F63E9" w:rsidRDefault="00EF5CC4" w:rsidP="00323534">
      <w:pPr>
        <w:pStyle w:val="Heading3"/>
      </w:pPr>
      <w:r>
        <w:t>Underserved Populations</w:t>
      </w:r>
    </w:p>
    <w:p w14:paraId="7DD58A66" w14:textId="396F2789" w:rsidR="007F63E9" w:rsidRDefault="007E2404" w:rsidP="007F63E9">
      <w:pPr>
        <w:pStyle w:val="Bodycopy1"/>
      </w:pPr>
      <w:r>
        <w:t xml:space="preserve">The Sec. 120 reporting form requested utilities to identify underserved </w:t>
      </w:r>
      <w:r w:rsidR="00E71C73">
        <w:t xml:space="preserve">populations in their service areas. Utilities generally identified rural populations, </w:t>
      </w:r>
      <w:r w:rsidR="009F2EED">
        <w:t xml:space="preserve">renters, </w:t>
      </w:r>
      <w:r w:rsidR="00E71C73">
        <w:t>Tribes, and non-English speaking households as being underserved.</w:t>
      </w:r>
    </w:p>
    <w:p w14:paraId="042B620B" w14:textId="77777777" w:rsidR="00C44470" w:rsidRDefault="00C44470" w:rsidP="00057B7F">
      <w:pPr>
        <w:pStyle w:val="Heading1"/>
      </w:pPr>
    </w:p>
    <w:p w14:paraId="0F5D048F" w14:textId="77777777" w:rsidR="00C44470" w:rsidRDefault="00C44470" w:rsidP="00C44470">
      <w:pPr>
        <w:pStyle w:val="Bodycopy1"/>
      </w:pPr>
    </w:p>
    <w:p w14:paraId="7E849D24" w14:textId="0CD3BE43" w:rsidR="00C44470" w:rsidRDefault="00C44470" w:rsidP="00C44470">
      <w:pPr>
        <w:pStyle w:val="Bodycopy1"/>
      </w:pPr>
    </w:p>
    <w:p w14:paraId="3236B5A8" w14:textId="250DF7AA" w:rsidR="006033E0" w:rsidRDefault="006033E0" w:rsidP="00C44470">
      <w:pPr>
        <w:pStyle w:val="Bodycopy1"/>
      </w:pPr>
    </w:p>
    <w:p w14:paraId="23E3042F" w14:textId="30A2474D" w:rsidR="006033E0" w:rsidRDefault="006033E0" w:rsidP="00C44470">
      <w:pPr>
        <w:pStyle w:val="Bodycopy1"/>
      </w:pPr>
    </w:p>
    <w:p w14:paraId="5C962ECF" w14:textId="589B0AF2" w:rsidR="006033E0" w:rsidRDefault="006033E0" w:rsidP="00C44470">
      <w:pPr>
        <w:pStyle w:val="Bodycopy1"/>
      </w:pPr>
    </w:p>
    <w:p w14:paraId="4EFFC838" w14:textId="43F8416B" w:rsidR="00B16E16" w:rsidRDefault="00B16E16" w:rsidP="00C44470">
      <w:pPr>
        <w:pStyle w:val="Bodycopy1"/>
      </w:pPr>
    </w:p>
    <w:p w14:paraId="25F27FDD" w14:textId="635D2B2E" w:rsidR="00B16E16" w:rsidRDefault="00B16E16" w:rsidP="00C44470">
      <w:pPr>
        <w:pStyle w:val="Bodycopy1"/>
      </w:pPr>
    </w:p>
    <w:p w14:paraId="084E717C" w14:textId="198B3169" w:rsidR="00B16E16" w:rsidRDefault="00B16E16" w:rsidP="00C44470">
      <w:pPr>
        <w:pStyle w:val="Bodycopy1"/>
      </w:pPr>
    </w:p>
    <w:p w14:paraId="0BF3464A" w14:textId="7AB85FA3" w:rsidR="00B16E16" w:rsidRDefault="00B16E16" w:rsidP="00C44470">
      <w:pPr>
        <w:pStyle w:val="Bodycopy1"/>
      </w:pPr>
    </w:p>
    <w:p w14:paraId="0E39EED9" w14:textId="3EB34689" w:rsidR="00B16E16" w:rsidRDefault="00B16E16" w:rsidP="00C44470">
      <w:pPr>
        <w:pStyle w:val="Bodycopy1"/>
      </w:pPr>
    </w:p>
    <w:p w14:paraId="7EA5C38B" w14:textId="12E1683C" w:rsidR="00B16E16" w:rsidRDefault="00B16E16" w:rsidP="00C44470">
      <w:pPr>
        <w:pStyle w:val="Bodycopy1"/>
      </w:pPr>
    </w:p>
    <w:p w14:paraId="6C6871A1" w14:textId="662D7DCB" w:rsidR="00B16E16" w:rsidRDefault="00B16E16" w:rsidP="00C44470">
      <w:pPr>
        <w:pStyle w:val="Bodycopy1"/>
      </w:pPr>
    </w:p>
    <w:p w14:paraId="7A3FB3E7" w14:textId="2A43ADC3" w:rsidR="00B16E16" w:rsidRDefault="00B16E16" w:rsidP="00C44470">
      <w:pPr>
        <w:pStyle w:val="Bodycopy1"/>
      </w:pPr>
    </w:p>
    <w:p w14:paraId="016DDAC0" w14:textId="63C51D78" w:rsidR="00B16E16" w:rsidRDefault="00B16E16" w:rsidP="00C44470">
      <w:pPr>
        <w:pStyle w:val="Bodycopy1"/>
      </w:pPr>
    </w:p>
    <w:p w14:paraId="1C086302" w14:textId="204CB207" w:rsidR="00B16E16" w:rsidRDefault="00B16E16" w:rsidP="00C44470">
      <w:pPr>
        <w:pStyle w:val="Bodycopy1"/>
      </w:pPr>
    </w:p>
    <w:p w14:paraId="3956696C" w14:textId="5F27593D" w:rsidR="00B16E16" w:rsidRDefault="00B16E16" w:rsidP="00C44470">
      <w:pPr>
        <w:pStyle w:val="Bodycopy1"/>
      </w:pPr>
    </w:p>
    <w:p w14:paraId="039758FF" w14:textId="05903BBC" w:rsidR="00B16E16" w:rsidRDefault="00B16E16" w:rsidP="00C44470">
      <w:pPr>
        <w:pStyle w:val="Bodycopy1"/>
      </w:pPr>
    </w:p>
    <w:p w14:paraId="09505F43" w14:textId="79C1A6B0" w:rsidR="00B16E16" w:rsidRDefault="00B16E16" w:rsidP="00C44470">
      <w:pPr>
        <w:pStyle w:val="Bodycopy1"/>
      </w:pPr>
    </w:p>
    <w:p w14:paraId="408D5AF3" w14:textId="39F9E631" w:rsidR="005C3D9C" w:rsidRPr="00A60AB0" w:rsidRDefault="00B12A27" w:rsidP="00057B7F">
      <w:pPr>
        <w:pStyle w:val="Heading1"/>
      </w:pPr>
      <w:bookmarkStart w:id="8" w:name="_Toc112748067"/>
      <w:r>
        <w:lastRenderedPageBreak/>
        <w:t>Evaluation of Additional Mechanisms</w:t>
      </w:r>
      <w:bookmarkEnd w:id="8"/>
    </w:p>
    <w:p w14:paraId="09E6F346" w14:textId="77777777" w:rsidR="005C3D9C" w:rsidRPr="00A60AB0" w:rsidRDefault="00383C2A" w:rsidP="000B7675">
      <w:pPr>
        <w:pStyle w:val="Heading2"/>
      </w:pPr>
      <w:r>
        <w:t xml:space="preserve">Evaluation </w:t>
      </w:r>
      <w:r w:rsidR="00B12A27">
        <w:t>Methodology</w:t>
      </w:r>
    </w:p>
    <w:p w14:paraId="2AEF3BB7" w14:textId="76CBAC9D" w:rsidR="00164F97" w:rsidRDefault="005E0AA2" w:rsidP="007C0B1B">
      <w:pPr>
        <w:pStyle w:val="Bodycopy1"/>
      </w:pPr>
      <w:r>
        <w:t>Sec. 120 requires Commerce to evaluate additional mechanisms for energy assistance including, but not limited to, customer rates, a low-income specific discount, system benefits charges, and public and private funds. Commerce will be spending time between the first and second</w:t>
      </w:r>
      <w:r w:rsidR="00606BB7">
        <w:t xml:space="preserve"> drafts developing this section. As with all the sections, Commerce</w:t>
      </w:r>
      <w:r>
        <w:t xml:space="preserve"> welcomes </w:t>
      </w:r>
      <w:r w:rsidR="00606BB7">
        <w:t>ideas for and feedback on this section during both the</w:t>
      </w:r>
      <w:r>
        <w:t xml:space="preserve"> first</w:t>
      </w:r>
      <w:r w:rsidR="00606BB7">
        <w:t xml:space="preserve"> draft</w:t>
      </w:r>
      <w:r>
        <w:t xml:space="preserve"> and second </w:t>
      </w:r>
      <w:r w:rsidR="00606BB7">
        <w:t>draft</w:t>
      </w:r>
      <w:r>
        <w:t xml:space="preserve"> comment periods.</w:t>
      </w:r>
    </w:p>
    <w:p w14:paraId="49CC371D" w14:textId="77777777" w:rsidR="007C0B1B" w:rsidRDefault="001A7F16" w:rsidP="00B12A27">
      <w:pPr>
        <w:pStyle w:val="Heading3"/>
      </w:pPr>
      <w:r>
        <w:t>A low-income specific discount</w:t>
      </w:r>
    </w:p>
    <w:p w14:paraId="5058DF88" w14:textId="77777777" w:rsidR="00E20B20" w:rsidRDefault="00E20B20" w:rsidP="00E20B20">
      <w:pPr>
        <w:pStyle w:val="Subheading1"/>
      </w:pPr>
      <w:r>
        <w:t>Description</w:t>
      </w:r>
    </w:p>
    <w:p w14:paraId="7C843E2B" w14:textId="11416326" w:rsidR="00E20B20" w:rsidRDefault="009869F2" w:rsidP="00E20B20">
      <w:pPr>
        <w:pStyle w:val="Bodycopy1"/>
      </w:pPr>
      <w:r>
        <w:t>A low-income specific discount means a lower kilowatt hour rate or percentage discount on a household's electricity bill.</w:t>
      </w:r>
      <w:r w:rsidR="000D0461">
        <w:t xml:space="preserve"> </w:t>
      </w:r>
    </w:p>
    <w:p w14:paraId="7851E8AF" w14:textId="77777777" w:rsidR="00E20B20" w:rsidRDefault="00E20B20" w:rsidP="00E20B20">
      <w:pPr>
        <w:pStyle w:val="Subheading1"/>
      </w:pPr>
      <w:r>
        <w:t>Strengths</w:t>
      </w:r>
    </w:p>
    <w:p w14:paraId="79588585" w14:textId="0B8C2366" w:rsidR="00E20B20" w:rsidRDefault="009869F2" w:rsidP="00E20B20">
      <w:pPr>
        <w:pStyle w:val="Bodycopy1"/>
      </w:pPr>
      <w:r>
        <w:t xml:space="preserve">Low-income specific discounts are good at targeting benefits to low-income household. They are easy to administer and tweak to fit program goals. Washington utilities have long been administering </w:t>
      </w:r>
      <w:r w:rsidR="000D0461">
        <w:t xml:space="preserve">these </w:t>
      </w:r>
      <w:r>
        <w:t xml:space="preserve">discounts, and a few have started offering tiered discounts to better scale benefits to </w:t>
      </w:r>
      <w:r w:rsidR="00687576">
        <w:t>household income</w:t>
      </w:r>
      <w:r>
        <w:t xml:space="preserve">.  </w:t>
      </w:r>
    </w:p>
    <w:p w14:paraId="54073A93" w14:textId="77777777" w:rsidR="00E20B20" w:rsidRDefault="00E20B20" w:rsidP="00E20B20">
      <w:pPr>
        <w:pStyle w:val="Subheading1"/>
      </w:pPr>
      <w:r>
        <w:t>Drawbacks</w:t>
      </w:r>
    </w:p>
    <w:p w14:paraId="3A6B3218" w14:textId="6DF5F6A8" w:rsidR="007C0B1B" w:rsidRPr="007C0B1B" w:rsidRDefault="00687576" w:rsidP="007C0B1B">
      <w:pPr>
        <w:pStyle w:val="Bodycopy1"/>
      </w:pPr>
      <w:r>
        <w:t xml:space="preserve">Low-income specific discounts do not directly address </w:t>
      </w:r>
      <w:r w:rsidR="001C398B">
        <w:t>energy consumption</w:t>
      </w:r>
      <w:r>
        <w:t xml:space="preserve"> and could lead to </w:t>
      </w:r>
      <w:r w:rsidR="003A2A74">
        <w:t>changes in rates for other customers, including</w:t>
      </w:r>
      <w:r>
        <w:t xml:space="preserve"> low-income households who do not participate in the program. </w:t>
      </w:r>
    </w:p>
    <w:p w14:paraId="360C198B" w14:textId="77777777" w:rsidR="009869F2" w:rsidRDefault="009869F2" w:rsidP="009869F2">
      <w:pPr>
        <w:pStyle w:val="Heading3"/>
      </w:pPr>
      <w:r>
        <w:t>Customer rates</w:t>
      </w:r>
    </w:p>
    <w:p w14:paraId="093CC5E3" w14:textId="77777777" w:rsidR="009869F2" w:rsidRDefault="009869F2" w:rsidP="009869F2">
      <w:pPr>
        <w:pStyle w:val="Subheading1"/>
      </w:pPr>
      <w:r>
        <w:t>Description</w:t>
      </w:r>
    </w:p>
    <w:p w14:paraId="7B804783" w14:textId="1D628446" w:rsidR="009869F2" w:rsidRDefault="009869F2" w:rsidP="009869F2">
      <w:pPr>
        <w:pStyle w:val="Bodycopy1"/>
      </w:pPr>
      <w:r>
        <w:t xml:space="preserve">A group of ideas that might exist that aren't specifically in the low-income specific discount. </w:t>
      </w:r>
      <w:r w:rsidR="009F2EED">
        <w:t xml:space="preserve">For </w:t>
      </w:r>
      <w:r w:rsidR="000D0461">
        <w:t>example, a utility could provide a</w:t>
      </w:r>
      <w:r>
        <w:t xml:space="preserve"> waiver or reduction of any sort of fixed charge. </w:t>
      </w:r>
      <w:r w:rsidR="000D0461">
        <w:t>Changes to</w:t>
      </w:r>
      <w:r>
        <w:t xml:space="preserve"> </w:t>
      </w:r>
      <w:r w:rsidR="000D0461">
        <w:t xml:space="preserve">customer </w:t>
      </w:r>
      <w:r>
        <w:t>rate</w:t>
      </w:r>
      <w:r w:rsidR="000D0461">
        <w:t xml:space="preserve">s may also include updating rate design to make </w:t>
      </w:r>
      <w:r>
        <w:t>electric service more affordable for eligible households. For instance, if low</w:t>
      </w:r>
      <w:r w:rsidR="000D0461">
        <w:t>-income customers tend to have less energy</w:t>
      </w:r>
      <w:r>
        <w:t xml:space="preserve"> consumption, an in</w:t>
      </w:r>
      <w:r w:rsidR="000D0461">
        <w:t>creased blocked rate structure c</w:t>
      </w:r>
      <w:r>
        <w:t>ould help all</w:t>
      </w:r>
      <w:r w:rsidR="000D0461">
        <w:t xml:space="preserve"> customers with low-levels of energy consumption</w:t>
      </w:r>
      <w:r>
        <w:t xml:space="preserve"> and low-income customers to the extent they are in that group.   </w:t>
      </w:r>
    </w:p>
    <w:p w14:paraId="034479AF" w14:textId="77777777" w:rsidR="009869F2" w:rsidRDefault="009869F2" w:rsidP="009869F2">
      <w:pPr>
        <w:pStyle w:val="Subheading1"/>
      </w:pPr>
      <w:r>
        <w:t>Strengths</w:t>
      </w:r>
    </w:p>
    <w:p w14:paraId="74FCE33F" w14:textId="6018E93C" w:rsidR="009869F2" w:rsidRDefault="000D0461" w:rsidP="009869F2">
      <w:pPr>
        <w:pStyle w:val="Bodycopy1"/>
      </w:pPr>
      <w:r>
        <w:t xml:space="preserve">If you are changing the per kilowatt hour rate, you will not be addressing fixed charges on the household's bill. </w:t>
      </w:r>
      <w:r w:rsidR="009869F2">
        <w:t>Rate changes</w:t>
      </w:r>
      <w:r w:rsidR="00676665">
        <w:t xml:space="preserve"> may</w:t>
      </w:r>
      <w:r w:rsidR="009869F2">
        <w:t xml:space="preserve"> have a significant impact on energy burden for low-income customers with higher energy burden.</w:t>
      </w:r>
    </w:p>
    <w:p w14:paraId="24A6DC54" w14:textId="77777777" w:rsidR="009869F2" w:rsidRDefault="009869F2" w:rsidP="009869F2">
      <w:pPr>
        <w:pStyle w:val="Subheading1"/>
      </w:pPr>
      <w:r>
        <w:t>Drawbacks</w:t>
      </w:r>
    </w:p>
    <w:p w14:paraId="305F5769" w14:textId="2C5753B3" w:rsidR="009869F2" w:rsidRPr="0033110D" w:rsidRDefault="009869F2" w:rsidP="009869F2">
      <w:pPr>
        <w:pStyle w:val="Bodycopy1"/>
      </w:pPr>
      <w:r>
        <w:t>A rate structure for electricity would not address burden from natural gas, wood, or propane. It can be burdens</w:t>
      </w:r>
      <w:r w:rsidR="00676665">
        <w:t xml:space="preserve">ome to make rate design changes. Other mechanisms </w:t>
      </w:r>
      <w:r>
        <w:t xml:space="preserve">may be easier to adjust. </w:t>
      </w:r>
      <w:r w:rsidR="003A2A74">
        <w:t>A</w:t>
      </w:r>
      <w:r>
        <w:t xml:space="preserve"> rate discount for some customers may lead to rate changes for other customers. This could include low-income customers who are not enrolled in the program. Rate design may also not be supportive of efforts to improve energy efficiency.</w:t>
      </w:r>
    </w:p>
    <w:p w14:paraId="3D6DA566" w14:textId="58E4A999" w:rsidR="007C0B1B" w:rsidRDefault="001A7F16" w:rsidP="001A7F16">
      <w:pPr>
        <w:pStyle w:val="Heading3"/>
      </w:pPr>
      <w:r>
        <w:lastRenderedPageBreak/>
        <w:t xml:space="preserve">System benefits </w:t>
      </w:r>
      <w:r w:rsidR="00671815">
        <w:t>charge</w:t>
      </w:r>
    </w:p>
    <w:p w14:paraId="0777CDBD" w14:textId="77777777" w:rsidR="00E20B20" w:rsidRDefault="00E20B20" w:rsidP="00E20B20">
      <w:pPr>
        <w:pStyle w:val="Subheading1"/>
      </w:pPr>
      <w:r>
        <w:t>Description</w:t>
      </w:r>
    </w:p>
    <w:p w14:paraId="02D10A5D" w14:textId="6EC52448" w:rsidR="005C089C" w:rsidRDefault="005C089C" w:rsidP="00E20B20">
      <w:pPr>
        <w:pStyle w:val="Bodycopy1"/>
      </w:pPr>
      <w:r>
        <w:t xml:space="preserve">A system benefits charge would pool resources across utilities to fund energy assistance programs statewide. </w:t>
      </w:r>
      <w:r w:rsidR="009F2EED">
        <w:t xml:space="preserve">Funding would come from </w:t>
      </w:r>
      <w:r w:rsidR="00676665">
        <w:t>a uniform charge on utilities</w:t>
      </w:r>
      <w:r w:rsidR="0050109B">
        <w:t>.</w:t>
      </w:r>
      <w:r w:rsidR="00AC38ED">
        <w:t xml:space="preserve"> Other states use system benefits charges for energy efficiency, but it could be used for bill assistance.</w:t>
      </w:r>
    </w:p>
    <w:p w14:paraId="538DE4A5" w14:textId="77777777" w:rsidR="00E20B20" w:rsidRDefault="00E20B20" w:rsidP="00E20B20">
      <w:pPr>
        <w:pStyle w:val="Subheading1"/>
      </w:pPr>
      <w:r>
        <w:t>Strengths</w:t>
      </w:r>
    </w:p>
    <w:p w14:paraId="05895DE5" w14:textId="348B0243" w:rsidR="00E20B20" w:rsidRDefault="0050109B" w:rsidP="00E20B20">
      <w:pPr>
        <w:pStyle w:val="Bodycopy1"/>
      </w:pPr>
      <w:r>
        <w:t>There are many areas of Washing</w:t>
      </w:r>
      <w:r w:rsidR="00676665">
        <w:t xml:space="preserve">ton with high energy burden and </w:t>
      </w:r>
      <w:r>
        <w:t>small rate bases. Addressing energy burden in these areas would likely require steeper rate increases than in other parts of the state.</w:t>
      </w:r>
      <w:r w:rsidR="00AC38ED">
        <w:t xml:space="preserve"> </w:t>
      </w:r>
      <w:r>
        <w:t>A system benefits charge would avoid this outcome by sharing resources across utilities to address energy burden statewide. A systems benefit</w:t>
      </w:r>
      <w:r w:rsidR="00AC38ED">
        <w:t>s</w:t>
      </w:r>
      <w:r>
        <w:t xml:space="preserve"> charge could address total energy burden</w:t>
      </w:r>
      <w:r w:rsidR="00AC38ED">
        <w:t xml:space="preserve"> and not just energy burden from </w:t>
      </w:r>
      <w:r>
        <w:t xml:space="preserve">electricity. </w:t>
      </w:r>
      <w:r w:rsidR="00AC38ED">
        <w:t>In addition, a</w:t>
      </w:r>
      <w:r>
        <w:t xml:space="preserve"> single s</w:t>
      </w:r>
      <w:r w:rsidR="00AC38ED">
        <w:t xml:space="preserve">ystem could also </w:t>
      </w:r>
      <w:r>
        <w:t>streamline income-verific</w:t>
      </w:r>
      <w:r w:rsidR="00676665">
        <w:t>ation, enrollment, and outreach. It could make easier to collect data on</w:t>
      </w:r>
      <w:r>
        <w:t xml:space="preserve"> statewide data on energy burden. </w:t>
      </w:r>
      <w:r w:rsidR="001C398B">
        <w:t>A systems benefit charge progra</w:t>
      </w:r>
      <w:r w:rsidR="009F2EED">
        <w:t>m could maintain</w:t>
      </w:r>
      <w:r w:rsidR="00676665">
        <w:t xml:space="preserve"> on low-income households</w:t>
      </w:r>
      <w:r w:rsidR="009F2EED">
        <w:t xml:space="preserve"> information.</w:t>
      </w:r>
    </w:p>
    <w:p w14:paraId="01E3C667" w14:textId="77777777" w:rsidR="00E20B20" w:rsidRDefault="00E20B20" w:rsidP="00E20B20">
      <w:pPr>
        <w:pStyle w:val="Subheading1"/>
      </w:pPr>
      <w:r>
        <w:t>Drawbacks</w:t>
      </w:r>
    </w:p>
    <w:p w14:paraId="6381BCE3" w14:textId="5E9E6F50" w:rsidR="001C398B" w:rsidRDefault="001C398B" w:rsidP="001C398B">
      <w:pPr>
        <w:pStyle w:val="Bodycopy1"/>
      </w:pPr>
      <w:r>
        <w:t>A centrally administered prog</w:t>
      </w:r>
      <w:r w:rsidR="00AC38ED">
        <w:t xml:space="preserve">ram could have higher </w:t>
      </w:r>
      <w:r>
        <w:t xml:space="preserve">administrative costs. </w:t>
      </w:r>
      <w:r w:rsidR="00AC38ED">
        <w:t>Like other proposals, a</w:t>
      </w:r>
      <w:r>
        <w:t xml:space="preserve"> system benefits charge does not address energy burden for low-income customers who do not sign up for the program and could raise rates for them.</w:t>
      </w:r>
    </w:p>
    <w:p w14:paraId="6B9FDB3F" w14:textId="59E480FE" w:rsidR="001A7F16" w:rsidRPr="001A7F16" w:rsidRDefault="005E0AA2" w:rsidP="001A7F16">
      <w:pPr>
        <w:pStyle w:val="Heading3"/>
      </w:pPr>
      <w:r>
        <w:t>5% r</w:t>
      </w:r>
      <w:r w:rsidR="00E94725">
        <w:t xml:space="preserve">evenue threshold </w:t>
      </w:r>
    </w:p>
    <w:p w14:paraId="46FA661B" w14:textId="77777777" w:rsidR="00E20B20" w:rsidRDefault="00E20B20" w:rsidP="00E20B20">
      <w:pPr>
        <w:pStyle w:val="Subheading1"/>
      </w:pPr>
      <w:r>
        <w:t>Description</w:t>
      </w:r>
    </w:p>
    <w:p w14:paraId="0694BB59" w14:textId="36AA61AA" w:rsidR="00583A95" w:rsidRDefault="00583A95" w:rsidP="00E20B20">
      <w:pPr>
        <w:pStyle w:val="Bodycopy1"/>
      </w:pPr>
      <w:r>
        <w:t>In 2021, t</w:t>
      </w:r>
      <w:r w:rsidR="00323BD6">
        <w:t xml:space="preserve">he Washington Legislature passed </w:t>
      </w:r>
      <w:hyperlink r:id="rId45" w:history="1">
        <w:r w:rsidR="00323BD6" w:rsidRPr="006C2869">
          <w:rPr>
            <w:rStyle w:val="Hyperlink"/>
          </w:rPr>
          <w:t>SB</w:t>
        </w:r>
        <w:r w:rsidRPr="006C2869">
          <w:rPr>
            <w:rStyle w:val="Hyperlink"/>
          </w:rPr>
          <w:t xml:space="preserve"> 5295</w:t>
        </w:r>
      </w:hyperlink>
      <w:r>
        <w:t xml:space="preserve">, which </w:t>
      </w:r>
      <w:r w:rsidR="00323BD6">
        <w:t xml:space="preserve">permits the Utilities and Transportation Commission </w:t>
      </w:r>
      <w:r w:rsidR="00676665">
        <w:t xml:space="preserve">(UTC) </w:t>
      </w:r>
      <w:r w:rsidR="00323BD6">
        <w:t>the authority to approve, disapprove</w:t>
      </w:r>
      <w:r>
        <w:t>, or approve with modifications:</w:t>
      </w:r>
    </w:p>
    <w:p w14:paraId="60865A74" w14:textId="44A2DF43" w:rsidR="00232E99" w:rsidRDefault="00583A95" w:rsidP="00583A95">
      <w:pPr>
        <w:pStyle w:val="Bodycopy1Indent"/>
      </w:pPr>
      <w:r>
        <w:t>A</w:t>
      </w:r>
      <w:r w:rsidR="00323BD6">
        <w:t>ny proposal to recover from ratepayers up to five percent of the total revenue requirement for each year of a multiyear rate plan for tariffs that reduce the energy burden of low-income residential customers including, but not limited to</w:t>
      </w:r>
      <w:r>
        <w:t>: (a) bill assistance programs; or (b) one or more special rates. F</w:t>
      </w:r>
      <w:r w:rsidRPr="00583A95">
        <w:t>or any multiyear rate plan approved under this section resulting in a rate increase, the commission must approve an increase in the amount of low-income bill assistance to take effect in each year of the rate plan where there is a rate increase. At a minimum, the amount of such low-income assistance increase must be equal to double the percentage increase, if any, in the residential base rates approved for each year of the rate plan. The commission may approve a larger increase to low-income bill assistance based on an appropriate record.</w:t>
      </w:r>
    </w:p>
    <w:p w14:paraId="0F2BE916" w14:textId="6AA91C7D" w:rsidR="00E20B20" w:rsidRDefault="00583A95" w:rsidP="00E20B20">
      <w:pPr>
        <w:pStyle w:val="Bodycopy1"/>
      </w:pPr>
      <w:r>
        <w:t>The Washington Legislature could build on this law and require utilities fund their low-income energy assistance programs</w:t>
      </w:r>
      <w:r w:rsidR="00AC38ED">
        <w:t xml:space="preserve"> equal to five p</w:t>
      </w:r>
      <w:r>
        <w:t xml:space="preserve">ercent of their annual revenues. </w:t>
      </w:r>
      <w:r w:rsidR="00AC38ED">
        <w:t>Expenditures above</w:t>
      </w:r>
      <w:r>
        <w:t xml:space="preserve"> the</w:t>
      </w:r>
      <w:r w:rsidR="00AC38ED">
        <w:t xml:space="preserve"> five percent </w:t>
      </w:r>
      <w:r>
        <w:t>threshold c</w:t>
      </w:r>
      <w:r w:rsidR="00AC38ED">
        <w:t>ould be funded by the state through public utility</w:t>
      </w:r>
      <w:r>
        <w:t xml:space="preserve"> tax mechanism</w:t>
      </w:r>
      <w:r w:rsidR="00AC38ED">
        <w:t xml:space="preserve">. </w:t>
      </w:r>
    </w:p>
    <w:p w14:paraId="2299AB37" w14:textId="77777777" w:rsidR="00E20B20" w:rsidRDefault="00E20B20" w:rsidP="00E20B20">
      <w:pPr>
        <w:pStyle w:val="Subheading1"/>
      </w:pPr>
      <w:r>
        <w:t>Strengths</w:t>
      </w:r>
    </w:p>
    <w:p w14:paraId="7C4A159F" w14:textId="7A38B59A" w:rsidR="00E20B20" w:rsidRDefault="00AC38ED" w:rsidP="00E20B20">
      <w:pPr>
        <w:pStyle w:val="Bodycopy1"/>
      </w:pPr>
      <w:r>
        <w:t xml:space="preserve">This proposal would scale the amount of </w:t>
      </w:r>
      <w:r w:rsidR="00676665">
        <w:t>rate-payer</w:t>
      </w:r>
      <w:r>
        <w:t xml:space="preserve"> funds available</w:t>
      </w:r>
      <w:r w:rsidR="00583A95">
        <w:t xml:space="preserve"> for low-income</w:t>
      </w:r>
      <w:r>
        <w:t xml:space="preserve"> </w:t>
      </w:r>
      <w:r w:rsidR="00583A95">
        <w:t>energy assistance by utility</w:t>
      </w:r>
      <w:r>
        <w:t xml:space="preserve"> revenues and provide state funding to meet additional energy assistance need. Like </w:t>
      </w:r>
      <w:r w:rsidR="009F2EED">
        <w:t>the system benefits charge, it c</w:t>
      </w:r>
      <w:r>
        <w:t>ould</w:t>
      </w:r>
      <w:r w:rsidR="00583A95">
        <w:t xml:space="preserve"> be an effective mechanism to help utilities located</w:t>
      </w:r>
      <w:r>
        <w:t xml:space="preserve"> in areas of the state with high energy burden. </w:t>
      </w:r>
    </w:p>
    <w:p w14:paraId="412C8141" w14:textId="77777777" w:rsidR="00E20B20" w:rsidRDefault="00E20B20" w:rsidP="00E20B20">
      <w:pPr>
        <w:pStyle w:val="Subheading1"/>
      </w:pPr>
      <w:r>
        <w:lastRenderedPageBreak/>
        <w:t>Drawbacks</w:t>
      </w:r>
    </w:p>
    <w:p w14:paraId="63B3DBAF" w14:textId="0F3ECDBA" w:rsidR="00E94725" w:rsidRDefault="00AC38ED" w:rsidP="00D8073D">
      <w:pPr>
        <w:pStyle w:val="Bodycopy1"/>
      </w:pPr>
      <w:r>
        <w:t xml:space="preserve">Utilities </w:t>
      </w:r>
      <w:r w:rsidR="001C23E0">
        <w:t>may need to raise rates to meet the 5%</w:t>
      </w:r>
      <w:r w:rsidR="000846B8">
        <w:t xml:space="preserve"> revenue threshold be</w:t>
      </w:r>
      <w:r w:rsidR="00232E99">
        <w:t>fore the state funding would be</w:t>
      </w:r>
      <w:r w:rsidR="000846B8">
        <w:t>come available.</w:t>
      </w:r>
      <w:r w:rsidR="008D6E0C">
        <w:t xml:space="preserve"> Low-income customers who do not participate in the program and non-low-income households could see rate changes. </w:t>
      </w:r>
    </w:p>
    <w:p w14:paraId="352998A6" w14:textId="7893A1C6" w:rsidR="00E94725" w:rsidRPr="00211519" w:rsidRDefault="00E94725" w:rsidP="00E94725">
      <w:pPr>
        <w:pStyle w:val="Heading3"/>
      </w:pPr>
      <w:r>
        <w:t xml:space="preserve">Extend the provisions in RCW 80.28.068 to </w:t>
      </w:r>
      <w:r w:rsidR="002E0A22">
        <w:t>COUs</w:t>
      </w:r>
    </w:p>
    <w:p w14:paraId="59477D1E" w14:textId="77777777" w:rsidR="00E20B20" w:rsidRDefault="00E20B20" w:rsidP="00E20B20">
      <w:pPr>
        <w:pStyle w:val="Subheading1"/>
      </w:pPr>
      <w:r>
        <w:t>Description</w:t>
      </w:r>
    </w:p>
    <w:p w14:paraId="4415184E" w14:textId="1702361D" w:rsidR="00176B72" w:rsidRDefault="001C23E0" w:rsidP="00176B72">
      <w:pPr>
        <w:pStyle w:val="Bodycopy1"/>
      </w:pPr>
      <w:r>
        <w:t>This bill would extend</w:t>
      </w:r>
      <w:r w:rsidR="00176B72">
        <w:t xml:space="preserve"> provisions in</w:t>
      </w:r>
      <w:r>
        <w:t xml:space="preserve"> </w:t>
      </w:r>
      <w:hyperlink r:id="rId46" w:history="1">
        <w:r w:rsidRPr="006C2869">
          <w:rPr>
            <w:rStyle w:val="Hyperlink"/>
          </w:rPr>
          <w:t>RCW 80.28.068</w:t>
        </w:r>
      </w:hyperlink>
      <w:r>
        <w:t xml:space="preserve"> </w:t>
      </w:r>
      <w:r w:rsidR="00176B72">
        <w:t xml:space="preserve">to </w:t>
      </w:r>
      <w:r w:rsidR="002E0A22">
        <w:t>COUs</w:t>
      </w:r>
      <w:r w:rsidR="00176B72">
        <w:t xml:space="preserve">. This would include requiring </w:t>
      </w:r>
      <w:r w:rsidR="002E0A22">
        <w:t>COUs</w:t>
      </w:r>
      <w:r w:rsidR="00176B72">
        <w:t xml:space="preserve"> to offer bill discounts, grants, as well as other low-income </w:t>
      </w:r>
      <w:r w:rsidR="009F2EED">
        <w:t>assistance programs to</w:t>
      </w:r>
      <w:r w:rsidR="00176B72">
        <w:t xml:space="preserve"> all low-incom</w:t>
      </w:r>
      <w:r w:rsidR="008D6E0C">
        <w:t xml:space="preserve">e households. </w:t>
      </w:r>
      <w:r w:rsidR="002E0A22">
        <w:t>COUs</w:t>
      </w:r>
      <w:r w:rsidR="008D6E0C">
        <w:t xml:space="preserve"> would be required</w:t>
      </w:r>
      <w:r w:rsidR="00176B72">
        <w:t xml:space="preserve"> to make reasonable and good faith efforts to seek approval for low-income program design, eligibility, operation, outreach, and funding proposals from low-income and equity advisory groups </w:t>
      </w:r>
      <w:r w:rsidR="008D6E0C">
        <w:t>before seeking approval from utility</w:t>
      </w:r>
      <w:r w:rsidR="00176B72">
        <w:t xml:space="preserve"> governing board</w:t>
      </w:r>
      <w:r w:rsidR="008D6E0C">
        <w:t>s</w:t>
      </w:r>
      <w:r w:rsidR="00176B72">
        <w:t>. L</w:t>
      </w:r>
      <w:r w:rsidR="00176B72" w:rsidRPr="00176B72">
        <w:t>ow-income discounts or gr</w:t>
      </w:r>
      <w:r w:rsidR="00176B72">
        <w:t>ants approved under this law would have to be</w:t>
      </w:r>
      <w:r w:rsidR="00176B72" w:rsidRPr="00176B72">
        <w:t xml:space="preserve"> provided in coordination with community-based organizations in the </w:t>
      </w:r>
      <w:r w:rsidR="002E0A22">
        <w:t>COU</w:t>
      </w:r>
      <w:r w:rsidR="00176B72">
        <w:t xml:space="preserve">'s </w:t>
      </w:r>
      <w:r w:rsidR="00176B72" w:rsidRPr="00176B72">
        <w:t xml:space="preserve">service territory including, but not limited to, grantees of the </w:t>
      </w:r>
      <w:r w:rsidR="00176B72">
        <w:t>Department of C</w:t>
      </w:r>
      <w:r w:rsidR="00176B72" w:rsidRPr="00176B72">
        <w:t>ommerce, community action agencies, and community-</w:t>
      </w:r>
      <w:r w:rsidR="00176B72">
        <w:t xml:space="preserve">based nonprofit organizations. </w:t>
      </w:r>
    </w:p>
    <w:p w14:paraId="6F67BAF2" w14:textId="0DE0A0AD" w:rsidR="00176B72" w:rsidRDefault="002E0A22" w:rsidP="00176B72">
      <w:pPr>
        <w:pStyle w:val="Bodycopy1"/>
      </w:pPr>
      <w:r>
        <w:t>COUs</w:t>
      </w:r>
      <w:r w:rsidR="00176B72">
        <w:t xml:space="preserve"> would be required to </w:t>
      </w:r>
      <w:r w:rsidR="00176B72" w:rsidRPr="00176B72">
        <w:t>conduct substantial outreach efforts to make the low-income discounts or grants available to eligible customers</w:t>
      </w:r>
      <w:r w:rsidR="008D6E0C">
        <w:t>.</w:t>
      </w:r>
      <w:r w:rsidR="00176B72" w:rsidRPr="00176B72">
        <w:t xml:space="preserve"> Such outreach: </w:t>
      </w:r>
    </w:p>
    <w:p w14:paraId="7FFED97E" w14:textId="77777777" w:rsidR="000846B8" w:rsidRDefault="00176B72" w:rsidP="000846B8">
      <w:pPr>
        <w:pStyle w:val="Bodycopy1Indent"/>
      </w:pPr>
      <w:r w:rsidRPr="00176B72">
        <w:t>(a) Shall be made at least semiannually to inform customers of available rebates, discounts, credits, and other cost-saving mechanisms that can help them lower their monthly bills for gas or electrical service; and</w:t>
      </w:r>
    </w:p>
    <w:p w14:paraId="3F457DA8" w14:textId="583E7D1D" w:rsidR="00176B72" w:rsidRDefault="00176B72" w:rsidP="000846B8">
      <w:pPr>
        <w:pStyle w:val="Bodycopy1Indent"/>
      </w:pPr>
      <w:r w:rsidRPr="00176B72">
        <w:t>(b) may be in the form of any customary and usual methods of communication or distribution including, without limitation, widely broadcast communications with customers, direct mailing, telephone calls, electronic communications, social media postings, in-person contacts, websites of the gas or electrical company, press releases, and print and electronic media, that are designed to increase access to and participation in bill assistance programs.</w:t>
      </w:r>
      <w:r>
        <w:t xml:space="preserve"> </w:t>
      </w:r>
    </w:p>
    <w:p w14:paraId="318869B8" w14:textId="18CB8495" w:rsidR="001C23E0" w:rsidRDefault="000846B8" w:rsidP="000846B8">
      <w:pPr>
        <w:pStyle w:val="Bodycopy1"/>
      </w:pPr>
      <w:r w:rsidRPr="000846B8">
        <w:t>Outreach may include establishing an automated program of matching customer accounts with lists of recipients of the means-tested public benefit programs and, based on the results of the matching program, to presumptively offer a low-income discount rate or grant to eligible customers so identified. However, th</w:t>
      </w:r>
      <w:r>
        <w:t xml:space="preserve">e </w:t>
      </w:r>
      <w:r w:rsidR="002E0A22">
        <w:t>COU</w:t>
      </w:r>
      <w:r>
        <w:t xml:space="preserve"> must</w:t>
      </w:r>
      <w:r w:rsidRPr="000846B8">
        <w:t xml:space="preserve"> within 60 days of the presumptive enrollment inform such a low-income customer of the presumptive enrollment and all rights and obligations of a customer under the program, including the right to withdraw from the program without penalty.</w:t>
      </w:r>
    </w:p>
    <w:p w14:paraId="0E45FAEC" w14:textId="4FF75AF8" w:rsidR="000846B8" w:rsidRDefault="002E0A22" w:rsidP="000846B8">
      <w:pPr>
        <w:pStyle w:val="Bodycopy1"/>
      </w:pPr>
      <w:r>
        <w:t>COUs</w:t>
      </w:r>
      <w:r w:rsidR="000846B8">
        <w:t xml:space="preserve"> would be required to report on their efforts to the Department of Commerce and subject to audit from the State Auditor. </w:t>
      </w:r>
    </w:p>
    <w:p w14:paraId="29D0203A" w14:textId="77777777" w:rsidR="00E20B20" w:rsidRDefault="00E20B20" w:rsidP="00E20B20">
      <w:pPr>
        <w:pStyle w:val="Subheading1"/>
      </w:pPr>
      <w:r>
        <w:t>Strengths</w:t>
      </w:r>
    </w:p>
    <w:p w14:paraId="30711748" w14:textId="5F14D03F" w:rsidR="00E20B20" w:rsidRDefault="006C2869" w:rsidP="00E20B20">
      <w:pPr>
        <w:pStyle w:val="Bodycopy1"/>
      </w:pPr>
      <w:r>
        <w:t xml:space="preserve">Most </w:t>
      </w:r>
      <w:r w:rsidR="002E0A22">
        <w:t>COU</w:t>
      </w:r>
      <w:r>
        <w:t xml:space="preserve"> bill assistance programs are only available for low-income plus customers and this proposal would require utilities to offer a bill discount for all low-income customers. It would improve require more community engagement and input into low-income program design, eligibility, operation, outreach and funding. It would also permit utilities to engage in automated program matching to help more people and streamline enrollment. </w:t>
      </w:r>
    </w:p>
    <w:p w14:paraId="4A302C47" w14:textId="244B8020" w:rsidR="00E94725" w:rsidRDefault="00E20B20" w:rsidP="005E0AA2">
      <w:pPr>
        <w:pStyle w:val="Subheading1"/>
      </w:pPr>
      <w:r>
        <w:lastRenderedPageBreak/>
        <w:t>Drawbacks</w:t>
      </w:r>
    </w:p>
    <w:p w14:paraId="7F7F21DD" w14:textId="123E8FC2" w:rsidR="005E0AA2" w:rsidRPr="005E0AA2" w:rsidRDefault="006C2869" w:rsidP="005E0AA2">
      <w:pPr>
        <w:pStyle w:val="Bodycopy1"/>
      </w:pPr>
      <w:r>
        <w:t xml:space="preserve">There would need to be strong requirements and guidelines for how utilities establish their low-income and equity advisory groups to ensure these groups accurately reflect individuals and community organizations who have traditionally not been consulted or involved in utility decision-making.  </w:t>
      </w:r>
    </w:p>
    <w:p w14:paraId="3051EE23" w14:textId="2933FCCB" w:rsidR="00D8073D" w:rsidRDefault="001A7F16" w:rsidP="001A7F16">
      <w:pPr>
        <w:pStyle w:val="Heading3"/>
      </w:pPr>
      <w:r>
        <w:t>Public and private funds</w:t>
      </w:r>
    </w:p>
    <w:p w14:paraId="1D386976" w14:textId="77777777" w:rsidR="00E20B20" w:rsidRDefault="00E20B20" w:rsidP="00E20B20">
      <w:pPr>
        <w:pStyle w:val="Subheading1"/>
      </w:pPr>
      <w:r>
        <w:t>Description</w:t>
      </w:r>
    </w:p>
    <w:p w14:paraId="18328878" w14:textId="675C202A" w:rsidR="00E20B20" w:rsidRDefault="009A6BCF" w:rsidP="00E20B20">
      <w:pPr>
        <w:pStyle w:val="Bodycopy1"/>
      </w:pPr>
      <w:r>
        <w:t>Public funds are understood to refer to state general funds. Private funds are understood to mean new or innovative ways to receive customer donations.</w:t>
      </w:r>
    </w:p>
    <w:p w14:paraId="65AA2AB3" w14:textId="77777777" w:rsidR="00E20B20" w:rsidRDefault="00E20B20" w:rsidP="00E20B20">
      <w:pPr>
        <w:pStyle w:val="Subheading1"/>
      </w:pPr>
      <w:r>
        <w:t>Strengths</w:t>
      </w:r>
    </w:p>
    <w:p w14:paraId="4C34FD54" w14:textId="7D3910AC" w:rsidR="00E20B20" w:rsidRDefault="009A6BCF" w:rsidP="00E20B20">
      <w:pPr>
        <w:pStyle w:val="Bodycopy1"/>
      </w:pPr>
      <w:r>
        <w:t>These resources do not create rate pressure.</w:t>
      </w:r>
    </w:p>
    <w:p w14:paraId="27E7535D" w14:textId="77777777" w:rsidR="00E20B20" w:rsidRDefault="00E20B20" w:rsidP="00E20B20">
      <w:pPr>
        <w:pStyle w:val="Subheading1"/>
      </w:pPr>
      <w:r>
        <w:t>Drawbacks</w:t>
      </w:r>
    </w:p>
    <w:p w14:paraId="6093EAE4" w14:textId="1B53F476" w:rsidR="00E20B20" w:rsidRDefault="009A6BCF" w:rsidP="007A0C1F">
      <w:pPr>
        <w:pStyle w:val="Bodycopy1"/>
      </w:pPr>
      <w:r>
        <w:t xml:space="preserve">Public funds are subject to allocation through the legislative process and donation-based programs are unreliable.  </w:t>
      </w:r>
    </w:p>
    <w:p w14:paraId="2662DA5C" w14:textId="3B4A1445" w:rsidR="009A6BCF" w:rsidRPr="009A6BCF" w:rsidRDefault="009A6BCF" w:rsidP="009A6BCF">
      <w:pPr>
        <w:pStyle w:val="Bodycopy1"/>
      </w:pPr>
      <w:r>
        <w:t>Other opportunities Commerce may explore in its second draft report:</w:t>
      </w:r>
    </w:p>
    <w:p w14:paraId="395FB5DE" w14:textId="7467DE2F" w:rsidR="009A6BCF" w:rsidRPr="009A6BCF" w:rsidRDefault="009A6BCF" w:rsidP="009A6BCF">
      <w:pPr>
        <w:pStyle w:val="ListBullet"/>
      </w:pPr>
      <w:r w:rsidRPr="009A6BCF">
        <w:t xml:space="preserve">Arrearage </w:t>
      </w:r>
      <w:r>
        <w:t xml:space="preserve">forgiveness </w:t>
      </w:r>
    </w:p>
    <w:p w14:paraId="1143254B" w14:textId="3C82FF28" w:rsidR="009A6BCF" w:rsidRPr="009A6BCF" w:rsidRDefault="009A6BCF" w:rsidP="009A6BCF">
      <w:pPr>
        <w:pStyle w:val="ListBullet"/>
      </w:pPr>
      <w:r w:rsidRPr="009A6BCF">
        <w:t>Distributed energy resources, i.e. community solar</w:t>
      </w:r>
    </w:p>
    <w:p w14:paraId="57FA78F3" w14:textId="45E4A815" w:rsidR="009A6BCF" w:rsidRDefault="009A6BCF" w:rsidP="009A6BCF">
      <w:pPr>
        <w:pStyle w:val="ListBullet"/>
      </w:pPr>
      <w:r>
        <w:t>U</w:t>
      </w:r>
      <w:r w:rsidRPr="009A6BCF">
        <w:t>tility discount for participation in demand response programs</w:t>
      </w:r>
    </w:p>
    <w:p w14:paraId="70110FC8" w14:textId="52B3F47B" w:rsidR="009F2EED" w:rsidRPr="009A6BCF" w:rsidRDefault="009F2EED" w:rsidP="009A6BCF">
      <w:pPr>
        <w:pStyle w:val="ListBullet"/>
      </w:pPr>
      <w:r>
        <w:t>Energy efficiency services for renters</w:t>
      </w:r>
    </w:p>
    <w:p w14:paraId="14003273" w14:textId="77777777" w:rsidR="009A6BCF" w:rsidRDefault="009A6BCF" w:rsidP="009A6BCF">
      <w:pPr>
        <w:pStyle w:val="ListBullet"/>
        <w:numPr>
          <w:ilvl w:val="0"/>
          <w:numId w:val="0"/>
        </w:numPr>
      </w:pPr>
    </w:p>
    <w:p w14:paraId="41C19F4C" w14:textId="77777777" w:rsidR="006C2869" w:rsidRDefault="006C2869" w:rsidP="007A0C1F">
      <w:pPr>
        <w:pStyle w:val="Heading1"/>
      </w:pPr>
    </w:p>
    <w:p w14:paraId="422A238D" w14:textId="77777777" w:rsidR="006C2869" w:rsidRDefault="006C2869" w:rsidP="007A0C1F">
      <w:pPr>
        <w:pStyle w:val="Heading1"/>
      </w:pPr>
    </w:p>
    <w:p w14:paraId="50C51D58" w14:textId="22740762" w:rsidR="009A6BCF" w:rsidRDefault="009A6BCF" w:rsidP="007A0C1F">
      <w:pPr>
        <w:pStyle w:val="Heading1"/>
      </w:pPr>
    </w:p>
    <w:p w14:paraId="584BFBDD" w14:textId="2E804659" w:rsidR="009A6BCF" w:rsidRDefault="009A6BCF" w:rsidP="009A6BCF">
      <w:pPr>
        <w:pStyle w:val="Bodycopy1"/>
      </w:pPr>
    </w:p>
    <w:p w14:paraId="67CFE7AB" w14:textId="03F33699" w:rsidR="009A54EE" w:rsidRDefault="009A54EE" w:rsidP="007A0C1F">
      <w:pPr>
        <w:pStyle w:val="Heading1"/>
        <w:rPr>
          <w:rFonts w:ascii="Roboto" w:hAnsi="Roboto"/>
          <w:color w:val="555555" w:themeColor="text1"/>
          <w:sz w:val="22"/>
          <w:szCs w:val="22"/>
        </w:rPr>
      </w:pPr>
    </w:p>
    <w:p w14:paraId="31243215" w14:textId="00C1FC43" w:rsidR="00915030" w:rsidRDefault="00915030" w:rsidP="007A0C1F">
      <w:pPr>
        <w:pStyle w:val="Heading1"/>
        <w:rPr>
          <w:rFonts w:ascii="Roboto" w:hAnsi="Roboto"/>
          <w:color w:val="555555" w:themeColor="text1"/>
          <w:sz w:val="22"/>
          <w:szCs w:val="22"/>
        </w:rPr>
      </w:pPr>
    </w:p>
    <w:p w14:paraId="2CF75941" w14:textId="2313B0FF" w:rsidR="00915030" w:rsidRDefault="00915030" w:rsidP="00915030">
      <w:pPr>
        <w:pStyle w:val="Bodycopy1"/>
      </w:pPr>
    </w:p>
    <w:p w14:paraId="4579F77C" w14:textId="77777777" w:rsidR="00915030" w:rsidRPr="00915030" w:rsidRDefault="00915030" w:rsidP="00915030">
      <w:pPr>
        <w:pStyle w:val="Bodycopy1"/>
      </w:pPr>
    </w:p>
    <w:p w14:paraId="2626E28C" w14:textId="23EC090E" w:rsidR="007A0C1F" w:rsidRDefault="007A0C1F" w:rsidP="007A0C1F">
      <w:pPr>
        <w:pStyle w:val="Heading1"/>
      </w:pPr>
      <w:bookmarkStart w:id="9" w:name="_Toc112748068"/>
      <w:r>
        <w:lastRenderedPageBreak/>
        <w:t>Mechanisms to Prioritize Energy Assistance to Low-Income Households with a Higher Energy Burden</w:t>
      </w:r>
      <w:bookmarkEnd w:id="9"/>
    </w:p>
    <w:p w14:paraId="44C9E44E" w14:textId="67D762EA" w:rsidR="009A6BCF" w:rsidRPr="009A6BCF" w:rsidRDefault="009A6BCF" w:rsidP="009A6BCF">
      <w:pPr>
        <w:pStyle w:val="Bodycopy1"/>
      </w:pPr>
      <w:r>
        <w:t>Commerce did not work on this section of this section in the first draft of its report. It will provide a draft of this section at its next public workshop on Sept. 27, 2022.</w:t>
      </w:r>
    </w:p>
    <w:p w14:paraId="617801E4" w14:textId="08780BBE" w:rsidR="009A6BCF" w:rsidRDefault="009A6BCF" w:rsidP="009A6BCF">
      <w:pPr>
        <w:pStyle w:val="ListBullet"/>
      </w:pPr>
      <w:r w:rsidRPr="009A6BCF">
        <w:t>Tiered incentives</w:t>
      </w:r>
    </w:p>
    <w:p w14:paraId="42A1317A" w14:textId="0AA26883" w:rsidR="009A6BCF" w:rsidRPr="009A6BCF" w:rsidRDefault="009A6BCF" w:rsidP="009A6BCF">
      <w:pPr>
        <w:pStyle w:val="ListBullet"/>
      </w:pPr>
      <w:r>
        <w:t>Improve existing data resources</w:t>
      </w:r>
    </w:p>
    <w:p w14:paraId="6B9286FF" w14:textId="1B5BB8F5" w:rsidR="009A6BCF" w:rsidRPr="009A6BCF" w:rsidRDefault="009A6BCF" w:rsidP="009A6BCF">
      <w:pPr>
        <w:pStyle w:val="ListBullet"/>
      </w:pPr>
      <w:r w:rsidRPr="009A6BCF">
        <w:t>Consider needs assessment results and tailor outreach to underserved populations</w:t>
      </w:r>
    </w:p>
    <w:p w14:paraId="6F51DAB9" w14:textId="4779EFB3" w:rsidR="009A6BCF" w:rsidRPr="009A6BCF" w:rsidRDefault="009A6BCF" w:rsidP="009A6BCF">
      <w:pPr>
        <w:pStyle w:val="ListBullet"/>
      </w:pPr>
      <w:r w:rsidRPr="009A6BCF">
        <w:t>Streamline application process</w:t>
      </w:r>
    </w:p>
    <w:p w14:paraId="3CCDE4BC" w14:textId="77777777" w:rsidR="007C0B1B" w:rsidRDefault="007C0B1B" w:rsidP="00057B7F">
      <w:pPr>
        <w:pStyle w:val="Heading1"/>
        <w:rPr>
          <w:rFonts w:ascii="Roboto" w:hAnsi="Roboto"/>
          <w:color w:val="555555" w:themeColor="text1"/>
          <w:sz w:val="22"/>
          <w:szCs w:val="22"/>
        </w:rPr>
      </w:pPr>
    </w:p>
    <w:p w14:paraId="3E94472C" w14:textId="4E56B3D1" w:rsidR="009F2EED" w:rsidRDefault="009F2EED" w:rsidP="009F2EED">
      <w:pPr>
        <w:pStyle w:val="Bodycopy1"/>
      </w:pPr>
    </w:p>
    <w:p w14:paraId="2625EEDA" w14:textId="77777777" w:rsidR="001A7F16" w:rsidRDefault="001A7F16" w:rsidP="00D8073D">
      <w:pPr>
        <w:pStyle w:val="Bodycopy1"/>
      </w:pPr>
    </w:p>
    <w:p w14:paraId="1848DD84" w14:textId="77777777" w:rsidR="001A7F16" w:rsidRDefault="001A7F16" w:rsidP="00D8073D">
      <w:pPr>
        <w:pStyle w:val="Bodycopy1"/>
      </w:pPr>
    </w:p>
    <w:p w14:paraId="3E66CCE5" w14:textId="77777777" w:rsidR="001A7F16" w:rsidRDefault="001A7F16" w:rsidP="00D8073D">
      <w:pPr>
        <w:pStyle w:val="Bodycopy1"/>
      </w:pPr>
    </w:p>
    <w:p w14:paraId="08CF5306" w14:textId="77777777" w:rsidR="001A7F16" w:rsidRDefault="001A7F16" w:rsidP="00D8073D">
      <w:pPr>
        <w:pStyle w:val="Bodycopy1"/>
      </w:pPr>
    </w:p>
    <w:p w14:paraId="14B0BAE4" w14:textId="77777777" w:rsidR="001A7F16" w:rsidRDefault="001A7F16" w:rsidP="00D8073D">
      <w:pPr>
        <w:pStyle w:val="Bodycopy1"/>
      </w:pPr>
    </w:p>
    <w:p w14:paraId="5AFE68A9" w14:textId="77777777" w:rsidR="001A7F16" w:rsidRDefault="001A7F16" w:rsidP="001A7F16">
      <w:pPr>
        <w:pStyle w:val="Heading1"/>
      </w:pPr>
    </w:p>
    <w:p w14:paraId="6D01FF32" w14:textId="77777777" w:rsidR="001A7F16" w:rsidRDefault="001A7F16" w:rsidP="00D8073D">
      <w:pPr>
        <w:pStyle w:val="Bodycopy1"/>
      </w:pPr>
    </w:p>
    <w:p w14:paraId="00A81F46" w14:textId="77777777" w:rsidR="007A0C1F" w:rsidRDefault="007A0C1F" w:rsidP="00D8073D">
      <w:pPr>
        <w:pStyle w:val="Bodycopy1"/>
      </w:pPr>
    </w:p>
    <w:p w14:paraId="5FEDD807" w14:textId="380FA73B" w:rsidR="005C3D9C" w:rsidRPr="00A60AB0" w:rsidRDefault="005C3D9C" w:rsidP="00057B7F">
      <w:pPr>
        <w:pStyle w:val="Heading1"/>
      </w:pPr>
    </w:p>
    <w:p w14:paraId="15A1A347" w14:textId="3BAFD6D8" w:rsidR="0057340E" w:rsidRPr="00A60AB0" w:rsidRDefault="0057340E" w:rsidP="00057B7F">
      <w:pPr>
        <w:pStyle w:val="TableHeading1"/>
      </w:pPr>
    </w:p>
    <w:sectPr w:rsidR="0057340E" w:rsidRPr="00A60AB0" w:rsidSect="00B25FE8">
      <w:footerReference w:type="default" r:id="rId47"/>
      <w:endnotePr>
        <w:numFmt w:val="decimal"/>
      </w:endnotePr>
      <w:pgSz w:w="12240" w:h="15840"/>
      <w:pgMar w:top="720" w:right="720" w:bottom="1440" w:left="720" w:header="360" w:footer="86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D3DC38" w14:textId="77777777" w:rsidR="006A5159" w:rsidRPr="00E71F8B" w:rsidRDefault="006A5159" w:rsidP="000A4439">
      <w:r w:rsidRPr="00E71F8B">
        <w:separator/>
      </w:r>
    </w:p>
  </w:endnote>
  <w:endnote w:type="continuationSeparator" w:id="0">
    <w:p w14:paraId="654758CC" w14:textId="77777777" w:rsidR="006A5159" w:rsidRPr="000A4439" w:rsidRDefault="006A5159" w:rsidP="000A44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fontKey="{44E34DBC-29C4-4221-9FE4-2F090721F793}"/>
    <w:embedBold r:id="rId2" w:fontKey="{844DC07D-7811-4CFE-B318-745ADE037189}"/>
    <w:embedItalic r:id="rId3" w:fontKey="{1DF54D42-53E8-4C4C-8E9B-57A8F1F6AD8A}"/>
  </w:font>
  <w:font w:name="Roboto">
    <w:altName w:val="Times New Roman"/>
    <w:charset w:val="00"/>
    <w:family w:val="auto"/>
    <w:pitch w:val="variable"/>
    <w:sig w:usb0="E00002FF" w:usb1="5000205B" w:usb2="00000020" w:usb3="00000000" w:csb0="0000019F" w:csb1="00000000"/>
    <w:embedRegular r:id="rId4" w:fontKey="{91DB143A-2C26-478B-9EDD-C5E923F89D35}"/>
    <w:embedBold r:id="rId5" w:fontKey="{8E7C31B2-49DB-4241-A682-804E74EC9176}"/>
    <w:embedItalic r:id="rId6" w:fontKey="{8934B59A-9D98-4382-B4AF-682FCC00ABE4}"/>
  </w:font>
  <w:font w:name="Roboto Light">
    <w:altName w:val="Times New Roman"/>
    <w:charset w:val="00"/>
    <w:family w:val="auto"/>
    <w:pitch w:val="variable"/>
    <w:sig w:usb0="E00002FF" w:usb1="5000205B" w:usb2="00000020" w:usb3="00000000" w:csb0="0000019F" w:csb1="00000000"/>
    <w:embedRegular r:id="rId7" w:fontKey="{74B86636-DEEF-43B6-A91E-8B5B6F8E68A5}"/>
  </w:font>
  <w:font w:name="Segoe UI">
    <w:panose1 w:val="020B0502040204020203"/>
    <w:charset w:val="00"/>
    <w:family w:val="swiss"/>
    <w:pitch w:val="variable"/>
    <w:sig w:usb0="E4002EFF" w:usb1="C000E47F" w:usb2="00000009" w:usb3="00000000" w:csb0="000001FF" w:csb1="00000000"/>
    <w:embedRegular r:id="rId8" w:fontKey="{1F88C915-2295-4A7A-B9E5-2010FB792554}"/>
  </w:font>
  <w:font w:name="Abril Fatface">
    <w:altName w:val="Times New Roman"/>
    <w:charset w:val="00"/>
    <w:family w:val="auto"/>
    <w:pitch w:val="variable"/>
    <w:sig w:usb0="A00000A7" w:usb1="5000205B" w:usb2="00000000" w:usb3="00000000" w:csb0="00000093" w:csb1="00000000"/>
    <w:embedRegular r:id="rId9" w:fontKey="{1FC67F4D-87F1-4806-A378-D5B3F386D4CB}"/>
  </w:font>
  <w:font w:name="Wingdings 2">
    <w:panose1 w:val="05020102010507070707"/>
    <w:charset w:val="02"/>
    <w:family w:val="roman"/>
    <w:pitch w:val="variable"/>
    <w:sig w:usb0="00000000" w:usb1="10000000" w:usb2="00000000" w:usb3="00000000" w:csb0="80000000" w:csb1="00000000"/>
    <w:embedRegular r:id="rId10" w:fontKey="{55A1B06E-C9B4-4D87-B2F8-2F9B7C4239D4}"/>
  </w:font>
  <w:font w:name="Wingdings 3">
    <w:panose1 w:val="05040102010807070707"/>
    <w:charset w:val="02"/>
    <w:family w:val="roman"/>
    <w:pitch w:val="variable"/>
    <w:sig w:usb0="00000000" w:usb1="10000000" w:usb2="00000000" w:usb3="00000000" w:csb0="80000000" w:csb1="00000000"/>
    <w:embedRegular r:id="rId11" w:fontKey="{002ED668-7118-4893-A792-06BB6EEAA7EE}"/>
  </w:font>
  <w:font w:name="Calibri Light">
    <w:panose1 w:val="020F0302020204030204"/>
    <w:charset w:val="00"/>
    <w:family w:val="swiss"/>
    <w:pitch w:val="variable"/>
    <w:sig w:usb0="A0002AEF" w:usb1="4000207B" w:usb2="00000000" w:usb3="00000000" w:csb0="000001FF" w:csb1="00000000"/>
    <w:embedRegular r:id="rId12" w:fontKey="{414E3995-BCE0-46C4-8B9F-28C9E6431C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7791" w14:textId="77777777" w:rsidR="006A5159" w:rsidRPr="000A4439" w:rsidRDefault="006A5159" w:rsidP="00963A6A">
    <w:r w:rsidRPr="00E71F8B">
      <w:rPr>
        <w:noProof/>
      </w:rPr>
      <mc:AlternateContent>
        <mc:Choice Requires="wps">
          <w:drawing>
            <wp:anchor distT="0" distB="0" distL="114300" distR="114300" simplePos="0" relativeHeight="251654656" behindDoc="0" locked="0" layoutInCell="1" allowOverlap="1" wp14:anchorId="11E8B23C" wp14:editId="270A58CD">
              <wp:simplePos x="0" y="0"/>
              <wp:positionH relativeFrom="margin">
                <wp:align>left</wp:align>
              </wp:positionH>
              <wp:positionV relativeFrom="page">
                <wp:posOffset>9255760</wp:posOffset>
              </wp:positionV>
              <wp:extent cx="685800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5C4153" id="Straight Connector 11" o:spid="_x0000_s1026" style="position:absolute;z-index:251654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28.8pt" to="540pt,7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" strokecolor="#ea5f14 [3205]" strokeweight=".5pt">
              <v:stroke joinstyle="miter"/>
              <w10:wrap anchorx="margin" anchory="page"/>
            </v:line>
          </w:pict>
        </mc:Fallback>
      </mc:AlternateContent>
    </w:r>
    <w:r w:rsidRPr="00E71F8B">
      <w:rPr>
        <w:noProof/>
      </w:rPr>
      <mc:AlternateContent>
        <mc:Choice Requires="wps">
          <w:drawing>
            <wp:anchor distT="0" distB="0" distL="114300" distR="114300" simplePos="0" relativeHeight="251653632" behindDoc="0" locked="0" layoutInCell="1" allowOverlap="1" wp14:anchorId="52FD825E" wp14:editId="627F3E71">
              <wp:simplePos x="0" y="0"/>
              <wp:positionH relativeFrom="margin">
                <wp:posOffset>0</wp:posOffset>
              </wp:positionH>
              <wp:positionV relativeFrom="page">
                <wp:posOffset>9319260</wp:posOffset>
              </wp:positionV>
              <wp:extent cx="5158740" cy="409575"/>
              <wp:effectExtent l="0" t="0" r="3810" b="9525"/>
              <wp:wrapNone/>
              <wp:docPr id="13" name="Text Box 13"/>
              <wp:cNvGraphicFramePr/>
              <a:graphic xmlns:a="http://schemas.openxmlformats.org/drawingml/2006/main">
                <a:graphicData uri="http://schemas.microsoft.com/office/word/2010/wordprocessingShape">
                  <wps:wsp>
                    <wps:cNvSpPr txBox="1"/>
                    <wps:spPr>
                      <a:xfrm>
                        <a:off x="0" y="0"/>
                        <a:ext cx="5158740" cy="409575"/>
                      </a:xfrm>
                      <a:prstGeom prst="rect">
                        <a:avLst/>
                      </a:prstGeom>
                      <a:solidFill>
                        <a:schemeClr val="lt1"/>
                      </a:solidFill>
                      <a:ln w="6350">
                        <a:noFill/>
                      </a:ln>
                    </wps:spPr>
                    <wps:txbx>
                      <w:txbxContent>
                        <w:sdt>
                          <w:sdtPr>
                            <w:alias w:val="Report title"/>
                            <w:tag w:val="Report title"/>
                            <w:id w:val="824323995"/>
                          </w:sdtPr>
                          <w:sdtEndPr/>
                          <w:sdtContent>
                            <w:sdt>
                              <w:sdtPr>
                                <w:alias w:val="Report Title"/>
                                <w:tag w:val="Report Title"/>
                                <w:id w:val="835501026"/>
                              </w:sdtPr>
                              <w:sdtEndPr/>
                              <w:sdtContent>
                                <w:p w14:paraId="221E5920" w14:textId="77777777" w:rsidR="006A5159" w:rsidRPr="001C0B2D" w:rsidRDefault="006A5159" w:rsidP="001C0B2D">
                                  <w:pPr>
                                    <w:pStyle w:val="Bodycopy1"/>
                                  </w:pPr>
                                  <w:r w:rsidRPr="001C0B2D">
                                    <w:t>Energy Assistance for Low-Income Households</w:t>
                                  </w:r>
                                </w:p>
                              </w:sdtContent>
                            </w:sdt>
                            <w:p w14:paraId="2E439226" w14:textId="799669F0" w:rsidR="006A5159" w:rsidRPr="00E71F8B" w:rsidRDefault="00E64597" w:rsidP="005C2557">
                              <w:pPr>
                                <w:pStyle w:val="Bodycopy1"/>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FD825E" id="_x0000_t202" coordsize="21600,21600" o:spt="202" path="m,l,21600r21600,l21600,xe">
              <v:stroke joinstyle="miter"/>
              <v:path gradientshapeok="t" o:connecttype="rect"/>
            </v:shapetype>
            <v:shape id="Text Box 13" o:spid="_x0000_s1026" type="#_x0000_t202" style="position:absolute;margin-left:0;margin-top:733.8pt;width:406.2pt;height:32.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" fillcolor="white [3201]" stroked="f" strokeweight=".5pt">
              <v:textbox>
                <w:txbxContent>
                  <w:sdt>
                    <w:sdtPr>
                      <w:alias w:val="Report title"/>
                      <w:tag w:val="Report title"/>
                      <w:id w:val="824323995"/>
                    </w:sdtPr>
                    <w:sdtContent>
                      <w:sdt>
                        <w:sdtPr>
                          <w:alias w:val="Report Title"/>
                          <w:tag w:val="Report Title"/>
                          <w:id w:val="835501026"/>
                        </w:sdtPr>
                        <w:sdtContent>
                          <w:p w14:paraId="221E5920" w14:textId="77777777" w:rsidR="006A5159" w:rsidRPr="001C0B2D" w:rsidRDefault="006A5159" w:rsidP="001C0B2D">
                            <w:pPr>
                              <w:pStyle w:val="Bodycopy1"/>
                            </w:pPr>
                            <w:r w:rsidRPr="001C0B2D">
                              <w:t>Energy Assistance for Low-Income Households</w:t>
                            </w:r>
                          </w:p>
                        </w:sdtContent>
                      </w:sdt>
                      <w:p w14:paraId="2E439226" w14:textId="799669F0" w:rsidR="006A5159" w:rsidRPr="00E71F8B" w:rsidRDefault="006A5159" w:rsidP="005C2557">
                        <w:pPr>
                          <w:pStyle w:val="Bodycopy1"/>
                        </w:pPr>
                      </w:p>
                    </w:sdtContent>
                  </w:sdt>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4E5D" w14:textId="77777777" w:rsidR="006A5159" w:rsidRPr="000A4439" w:rsidRDefault="006A5159" w:rsidP="000A4439">
    <w:r w:rsidRPr="00E71F8B">
      <w:rPr>
        <w:noProof/>
      </w:rPr>
      <mc:AlternateContent>
        <mc:Choice Requires="wps">
          <w:drawing>
            <wp:anchor distT="0" distB="0" distL="114300" distR="114300" simplePos="0" relativeHeight="251662848" behindDoc="0" locked="0" layoutInCell="1" allowOverlap="1" wp14:anchorId="468B5D47" wp14:editId="6B8639AB">
              <wp:simplePos x="0" y="0"/>
              <wp:positionH relativeFrom="margin">
                <wp:align>left</wp:align>
              </wp:positionH>
              <wp:positionV relativeFrom="page">
                <wp:posOffset>9227185</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685800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AF204A" id="Straight Connector 4" o:spid="_x0000_s1026" style="position:absolute;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 from="0,726.55pt" to="540pt,7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" strokecolor="#ea5f14 [3205]" strokeweight=".5pt">
              <v:stroke joinstyle="miter"/>
              <w10:wrap anchorx="margin" anchory="page"/>
            </v:line>
          </w:pict>
        </mc:Fallback>
      </mc:AlternateContent>
    </w:r>
    <w:r w:rsidRPr="00E71F8B">
      <w:rPr>
        <w:noProof/>
      </w:rPr>
      <mc:AlternateContent>
        <mc:Choice Requires="wps">
          <w:drawing>
            <wp:anchor distT="0" distB="0" distL="114300" distR="114300" simplePos="0" relativeHeight="251658752" behindDoc="0" locked="0" layoutInCell="1" allowOverlap="1" wp14:anchorId="175F3CE6" wp14:editId="3BB00D0F">
              <wp:simplePos x="0" y="0"/>
              <wp:positionH relativeFrom="margin">
                <wp:posOffset>0</wp:posOffset>
              </wp:positionH>
              <wp:positionV relativeFrom="page">
                <wp:posOffset>9319260</wp:posOffset>
              </wp:positionV>
              <wp:extent cx="5219700" cy="4876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5219700" cy="487680"/>
                      </a:xfrm>
                      <a:prstGeom prst="rect">
                        <a:avLst/>
                      </a:prstGeom>
                      <a:solidFill>
                        <a:schemeClr val="lt1"/>
                      </a:solidFill>
                      <a:ln w="6350">
                        <a:noFill/>
                      </a:ln>
                    </wps:spPr>
                    <wps:txbx>
                      <w:txbxContent>
                        <w:sdt>
                          <w:sdtPr>
                            <w:alias w:val="Report title"/>
                            <w:tag w:val="Report title"/>
                            <w:id w:val="1124964737"/>
                            <w:lock w:val="sdtLocked"/>
                          </w:sdtPr>
                          <w:sdtEndPr/>
                          <w:sdtContent>
                            <w:sdt>
                              <w:sdtPr>
                                <w:alias w:val="Report Title"/>
                                <w:tag w:val="Report Title"/>
                                <w:id w:val="-107743195"/>
                              </w:sdtPr>
                              <w:sdtEndPr/>
                              <w:sdtContent>
                                <w:p w14:paraId="0731A6F7" w14:textId="77777777" w:rsidR="006A5159" w:rsidRPr="001C0B2D" w:rsidRDefault="006A5159" w:rsidP="001C0B2D">
                                  <w:pPr>
                                    <w:pStyle w:val="Bodycopy1"/>
                                  </w:pPr>
                                  <w:r w:rsidRPr="001C0B2D">
                                    <w:t>Energy Assistance for Low-Income Households</w:t>
                                  </w:r>
                                </w:p>
                              </w:sdtContent>
                            </w:sdt>
                            <w:p w14:paraId="5248100C" w14:textId="5C041B93" w:rsidR="006A5159" w:rsidRPr="00E71F8B" w:rsidRDefault="00E64597" w:rsidP="005C2557">
                              <w:pPr>
                                <w:pStyle w:val="Bodycopy1"/>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F3CE6" id="_x0000_t202" coordsize="21600,21600" o:spt="202" path="m,l,21600r21600,l21600,xe">
              <v:stroke joinstyle="miter"/>
              <v:path gradientshapeok="t" o:connecttype="rect"/>
            </v:shapetype>
            <v:shape id="Text Box 5" o:spid="_x0000_s1027" type="#_x0000_t202" style="position:absolute;margin-left:0;margin-top:733.8pt;width:411pt;height:38.4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" fillcolor="white [3201]" stroked="f" strokeweight=".5pt">
              <v:textbox>
                <w:txbxContent>
                  <w:sdt>
                    <w:sdtPr>
                      <w:alias w:val="Report title"/>
                      <w:tag w:val="Report title"/>
                      <w:id w:val="1124964737"/>
                      <w:lock w:val="sdtLocked"/>
                    </w:sdtPr>
                    <w:sdtContent>
                      <w:sdt>
                        <w:sdtPr>
                          <w:alias w:val="Report Title"/>
                          <w:tag w:val="Report Title"/>
                          <w:id w:val="-107743195"/>
                        </w:sdtPr>
                        <w:sdtContent>
                          <w:p w14:paraId="0731A6F7" w14:textId="77777777" w:rsidR="006A5159" w:rsidRPr="001C0B2D" w:rsidRDefault="006A5159" w:rsidP="001C0B2D">
                            <w:pPr>
                              <w:pStyle w:val="Bodycopy1"/>
                            </w:pPr>
                            <w:r w:rsidRPr="001C0B2D">
                              <w:t>Energy Assistance for Low-Income Households</w:t>
                            </w:r>
                          </w:p>
                        </w:sdtContent>
                      </w:sdt>
                      <w:p w14:paraId="5248100C" w14:textId="5C041B93" w:rsidR="006A5159" w:rsidRPr="00E71F8B" w:rsidRDefault="006A5159" w:rsidP="005C2557">
                        <w:pPr>
                          <w:pStyle w:val="Bodycopy1"/>
                        </w:pPr>
                      </w:p>
                    </w:sdtContent>
                  </w:sdt>
                </w:txbxContent>
              </v:textbox>
              <w10:wrap anchorx="margin" anchory="page"/>
            </v:shape>
          </w:pict>
        </mc:Fallback>
      </mc:AlternateContent>
    </w:r>
    <w:r w:rsidRPr="00E71F8B">
      <w:rPr>
        <w:noProof/>
      </w:rPr>
      <mc:AlternateContent>
        <mc:Choice Requires="wps">
          <w:drawing>
            <wp:anchor distT="0" distB="0" distL="114300" distR="114300" simplePos="0" relativeHeight="251659776" behindDoc="0" locked="0" layoutInCell="1" allowOverlap="1" wp14:anchorId="6BF1D98E" wp14:editId="38340603">
              <wp:simplePos x="0" y="0"/>
              <wp:positionH relativeFrom="margin">
                <wp:align>right</wp:align>
              </wp:positionH>
              <wp:positionV relativeFrom="page">
                <wp:posOffset>9311640</wp:posOffset>
              </wp:positionV>
              <wp:extent cx="706120" cy="3962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706120" cy="396240"/>
                      </a:xfrm>
                      <a:prstGeom prst="rect">
                        <a:avLst/>
                      </a:prstGeom>
                      <a:solidFill>
                        <a:schemeClr val="lt1"/>
                      </a:solidFill>
                      <a:ln w="6350">
                        <a:noFill/>
                      </a:ln>
                    </wps:spPr>
                    <wps:txbx>
                      <w:txbxContent>
                        <w:p w14:paraId="5CDC3843" w14:textId="6D4FDB8F" w:rsidR="006A5159" w:rsidRPr="00E71F8B" w:rsidRDefault="006A5159" w:rsidP="00FB224C">
                          <w:pPr>
                            <w:pStyle w:val="TableContentAlignRight"/>
                          </w:pPr>
                          <w:r w:rsidRPr="00E71F8B">
                            <w:fldChar w:fldCharType="begin"/>
                          </w:r>
                          <w:r w:rsidRPr="00E71F8B">
                            <w:instrText xml:space="preserve"> PAGE   \* MERGEFORMAT </w:instrText>
                          </w:r>
                          <w:r w:rsidRPr="00E71F8B">
                            <w:fldChar w:fldCharType="separate"/>
                          </w:r>
                          <w:r w:rsidR="00E64597">
                            <w:rPr>
                              <w:noProof/>
                            </w:rPr>
                            <w:t>19</w:t>
                          </w:r>
                          <w:r w:rsidRPr="00E71F8B">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1D98E" id="_x0000_t202" coordsize="21600,21600" o:spt="202" path="m,l,21600r21600,l21600,xe">
              <v:stroke joinstyle="miter"/>
              <v:path gradientshapeok="t" o:connecttype="rect"/>
            </v:shapetype>
            <v:shape id="Text Box 19" o:spid="_x0000_s1028" type="#_x0000_t202" style="position:absolute;margin-left:4.4pt;margin-top:733.2pt;width:55.6pt;height:31.2pt;z-index:2516597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" fillcolor="white [3201]" stroked="f" strokeweight=".5pt">
              <v:textbox>
                <w:txbxContent>
                  <w:p w14:paraId="5CDC3843" w14:textId="6D4FDB8F" w:rsidR="006A5159" w:rsidRPr="00E71F8B" w:rsidRDefault="006A5159" w:rsidP="00FB224C">
                    <w:pPr>
                      <w:pStyle w:val="TableContentAlignRight"/>
                    </w:pPr>
                    <w:r w:rsidRPr="00E71F8B">
                      <w:fldChar w:fldCharType="begin"/>
                    </w:r>
                    <w:r w:rsidRPr="00E71F8B">
                      <w:instrText xml:space="preserve"> PAGE   \* MERGEFORMAT </w:instrText>
                    </w:r>
                    <w:r w:rsidRPr="00E71F8B">
                      <w:fldChar w:fldCharType="separate"/>
                    </w:r>
                    <w:r w:rsidR="00E64597">
                      <w:rPr>
                        <w:noProof/>
                      </w:rPr>
                      <w:t>19</w:t>
                    </w:r>
                    <w:r w:rsidRPr="00E71F8B">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5285CD" w14:textId="77777777" w:rsidR="006A5159" w:rsidRPr="00A60AB0" w:rsidRDefault="006A5159" w:rsidP="0052277D">
      <w:pPr>
        <w:pStyle w:val="Bodycopy1"/>
      </w:pPr>
      <w:r w:rsidRPr="00A60AB0">
        <w:separator/>
      </w:r>
    </w:p>
  </w:footnote>
  <w:footnote w:type="continuationSeparator" w:id="0">
    <w:p w14:paraId="64EBB26D" w14:textId="77777777" w:rsidR="006A5159" w:rsidRPr="000A4439" w:rsidRDefault="006A5159" w:rsidP="000A4439">
      <w:r>
        <w:continuationSeparator/>
      </w:r>
    </w:p>
  </w:footnote>
  <w:footnote w:id="1">
    <w:p w14:paraId="053ABD0A" w14:textId="06A91549" w:rsidR="006A5159" w:rsidRDefault="006A5159">
      <w:pPr>
        <w:pStyle w:val="FootnoteText"/>
      </w:pPr>
      <w:r>
        <w:rPr>
          <w:rStyle w:val="FootnoteReference"/>
        </w:rPr>
        <w:footnoteRef/>
      </w:r>
      <w:r>
        <w:t xml:space="preserve"> </w:t>
      </w:r>
      <w:hyperlink r:id="rId1" w:history="1">
        <w:r w:rsidRPr="00834790">
          <w:rPr>
            <w:rStyle w:val="Hyperlink"/>
          </w:rPr>
          <w:t>RCW 74.38.070: Reduced utility rates for low-income senior citizens and other low-income citizens. (wa.gov)</w:t>
        </w:r>
      </w:hyperlink>
    </w:p>
  </w:footnote>
  <w:footnote w:id="2">
    <w:p w14:paraId="457324D5" w14:textId="3EA3B3BC" w:rsidR="009F2EED" w:rsidRDefault="009F2EED">
      <w:pPr>
        <w:pStyle w:val="FootnoteText"/>
      </w:pPr>
      <w:r>
        <w:rPr>
          <w:rStyle w:val="FootnoteReference"/>
        </w:rPr>
        <w:footnoteRef/>
      </w:r>
      <w:r>
        <w:t xml:space="preserve"> Clark County PUD No 1 and Snohomish County PUD No 1 are the only public utility districts that have a rate based program open to all low-income households.</w:t>
      </w:r>
    </w:p>
  </w:footnote>
  <w:footnote w:id="3">
    <w:p w14:paraId="1543A55C" w14:textId="3AFE5680" w:rsidR="009F2EED" w:rsidRDefault="009F2EED">
      <w:pPr>
        <w:pStyle w:val="FootnoteText"/>
      </w:pPr>
      <w:r>
        <w:rPr>
          <w:rStyle w:val="FootnoteReference"/>
        </w:rPr>
        <w:footnoteRef/>
      </w:r>
      <w:r>
        <w:t xml:space="preserve"> </w:t>
      </w:r>
      <w:hyperlink r:id="rId2" w:history="1">
        <w:r w:rsidRPr="00330EA5">
          <w:rPr>
            <w:rStyle w:val="Hyperlink"/>
          </w:rPr>
          <w:t>RCW 74.38.070</w:t>
        </w:r>
      </w:hyperlink>
    </w:p>
  </w:footnote>
  <w:footnote w:id="4">
    <w:p w14:paraId="3ED76A72" w14:textId="77777777" w:rsidR="006A5159" w:rsidRDefault="006A5159">
      <w:pPr>
        <w:pStyle w:val="FootnoteText"/>
      </w:pPr>
      <w:r>
        <w:rPr>
          <w:rStyle w:val="FootnoteReference"/>
        </w:rPr>
        <w:footnoteRef/>
      </w:r>
      <w:r>
        <w:t xml:space="preserve"> </w:t>
      </w:r>
      <w:hyperlink r:id="rId3" w:history="1">
        <w:r w:rsidRPr="001A7F16">
          <w:rPr>
            <w:rStyle w:val="Hyperlink"/>
          </w:rPr>
          <w:t>RCW 19.405.020(15)(b)</w:t>
        </w:r>
      </w:hyperlink>
    </w:p>
  </w:footnote>
  <w:footnote w:id="5">
    <w:p w14:paraId="2FD91791" w14:textId="78950EAD" w:rsidR="006A5159" w:rsidRDefault="006A5159">
      <w:pPr>
        <w:pStyle w:val="FootnoteText"/>
      </w:pPr>
      <w:r>
        <w:rPr>
          <w:rStyle w:val="FootnoteReference"/>
        </w:rPr>
        <w:footnoteRef/>
      </w:r>
      <w:r>
        <w:t>Town of Steilacoom, City of Coulee Dam, Vera Water &amp; Power, Wahkiakum County PUD No 1, Orcas Power and Light, Skamania County PUD No 1.</w:t>
      </w:r>
    </w:p>
  </w:footnote>
  <w:footnote w:id="6">
    <w:p w14:paraId="068F3800" w14:textId="5936E73D" w:rsidR="006A5159" w:rsidRDefault="006A5159">
      <w:pPr>
        <w:pStyle w:val="FootnoteText"/>
      </w:pPr>
      <w:r>
        <w:rPr>
          <w:rStyle w:val="FootnoteReference"/>
        </w:rPr>
        <w:footnoteRef/>
      </w:r>
      <w:r>
        <w:t xml:space="preserve"> Mason PUD No. 1</w:t>
      </w:r>
      <w:r w:rsidRPr="00241332">
        <w:t xml:space="preserve"> </w:t>
      </w:r>
      <w:r>
        <w:t>and Orcas Power and Light Co.</w:t>
      </w:r>
    </w:p>
  </w:footnote>
  <w:footnote w:id="7">
    <w:p w14:paraId="23F5C563" w14:textId="64A3285D" w:rsidR="006A5159" w:rsidRDefault="006A5159">
      <w:pPr>
        <w:pStyle w:val="FootnoteText"/>
      </w:pPr>
      <w:r>
        <w:rPr>
          <w:rStyle w:val="FootnoteReference"/>
        </w:rPr>
        <w:footnoteRef/>
      </w:r>
      <w:r>
        <w:t xml:space="preserve"> These include, Benton Rural Electric Association, City of Coulee Dam, City of Richland, </w:t>
      </w:r>
      <w:proofErr w:type="gramStart"/>
      <w:r>
        <w:t>Town</w:t>
      </w:r>
      <w:proofErr w:type="gramEnd"/>
      <w:r>
        <w:t xml:space="preserve"> of Steilacoom. The City of Richland mentioned in its energy assistance report that it would be revisiting its program design.</w:t>
      </w:r>
    </w:p>
  </w:footnote>
  <w:footnote w:id="8">
    <w:p w14:paraId="0CB1E38E" w14:textId="77777777" w:rsidR="006A5159" w:rsidRDefault="006A5159" w:rsidP="003B2B24">
      <w:pPr>
        <w:pStyle w:val="FootnoteText"/>
      </w:pPr>
      <w:r>
        <w:rPr>
          <w:rStyle w:val="FootnoteReference"/>
        </w:rPr>
        <w:footnoteRef/>
      </w:r>
      <w:r>
        <w:t xml:space="preserve"> </w:t>
      </w:r>
      <w:r w:rsidRPr="003B2B24">
        <w:t xml:space="preserve">"Low-income" means household incomes that do not exceed the </w:t>
      </w:r>
      <w:proofErr w:type="gramStart"/>
      <w:r w:rsidRPr="003B2B24">
        <w:t>higher</w:t>
      </w:r>
      <w:proofErr w:type="gramEnd"/>
      <w:r w:rsidRPr="003B2B24">
        <w:t xml:space="preserve"> of eighty percent of area median income or two hundred percent of federal poverty level, adjusted for household size.</w:t>
      </w:r>
    </w:p>
  </w:footnote>
  <w:footnote w:id="9">
    <w:p w14:paraId="68C271DF" w14:textId="772823FE" w:rsidR="006A5159" w:rsidRDefault="006A5159">
      <w:pPr>
        <w:pStyle w:val="FootnoteText"/>
      </w:pPr>
      <w:r>
        <w:rPr>
          <w:rStyle w:val="FootnoteReference"/>
        </w:rPr>
        <w:footnoteRef/>
      </w:r>
      <w:r>
        <w:t xml:space="preserve"> Ferry County PUD No 1, Jefferson County PUD No 1, Klickitat County PUD No 1, Mason P</w:t>
      </w:r>
      <w:r w:rsidR="009F2EED">
        <w:t>UD No 3, Pacific County PUD No</w:t>
      </w:r>
      <w:r>
        <w:t xml:space="preserve"> 2</w:t>
      </w:r>
    </w:p>
  </w:footnote>
  <w:footnote w:id="10">
    <w:p w14:paraId="7DB9DE40" w14:textId="395B36B6" w:rsidR="006A5159" w:rsidRDefault="006A5159">
      <w:pPr>
        <w:pStyle w:val="FootnoteText"/>
      </w:pPr>
      <w:r>
        <w:rPr>
          <w:rStyle w:val="FootnoteReference"/>
        </w:rPr>
        <w:footnoteRef/>
      </w:r>
      <w:r>
        <w:t xml:space="preserve"> Lewis County PUD No. 1</w:t>
      </w:r>
    </w:p>
  </w:footnote>
  <w:footnote w:id="11">
    <w:p w14:paraId="2DCBE894" w14:textId="53A1940D" w:rsidR="006A5159" w:rsidRDefault="006A5159" w:rsidP="00EC265A">
      <w:pPr>
        <w:pStyle w:val="FootnoteText"/>
      </w:pPr>
      <w:r>
        <w:rPr>
          <w:rStyle w:val="FootnoteReference"/>
        </w:rPr>
        <w:footnoteRef/>
      </w:r>
      <w:r>
        <w:t xml:space="preserve"> S</w:t>
      </w:r>
      <w:r w:rsidRPr="006D78C8">
        <w:t>ee Docket Nos. UE-210826 and UG-210827</w:t>
      </w:r>
    </w:p>
    <w:p w14:paraId="74BFCAD3" w14:textId="2BB19999" w:rsidR="006A5159" w:rsidRDefault="006A5159">
      <w:pPr>
        <w:pStyle w:val="FootnoteText"/>
      </w:pPr>
    </w:p>
  </w:footnote>
  <w:footnote w:id="12">
    <w:p w14:paraId="1FECF072" w14:textId="6323ACAB" w:rsidR="009F2EED" w:rsidRDefault="009F2EED">
      <w:pPr>
        <w:pStyle w:val="FootnoteText"/>
      </w:pPr>
      <w:r>
        <w:rPr>
          <w:rStyle w:val="FootnoteReference"/>
        </w:rPr>
        <w:footnoteRef/>
      </w:r>
      <w:r>
        <w:t xml:space="preserve"> Cowlitz County PUD No 1 and Benton County PUD No 1 both used Census data and in-house resources to identify and map energy burden and other important energy assistance metrics.</w:t>
      </w:r>
    </w:p>
  </w:footnote>
  <w:footnote w:id="13">
    <w:p w14:paraId="1F934338" w14:textId="2465C1D3" w:rsidR="009F2EED" w:rsidRDefault="009F2EED">
      <w:pPr>
        <w:pStyle w:val="FootnoteText"/>
      </w:pPr>
      <w:r>
        <w:rPr>
          <w:rStyle w:val="FootnoteReference"/>
        </w:rPr>
        <w:footnoteRef/>
      </w:r>
      <w:r>
        <w:t xml:space="preserve"> </w:t>
      </w:r>
      <w:hyperlink r:id="rId4" w:history="1">
        <w:r w:rsidRPr="009F2EED">
          <w:rPr>
            <w:rStyle w:val="Hyperlink"/>
          </w:rPr>
          <w:t>RCW 19.405.120: Energy assistance for low-income households. (wa.gov)</w:t>
        </w:r>
      </w:hyperlink>
    </w:p>
  </w:footnote>
  <w:footnote w:id="14">
    <w:p w14:paraId="5FC7C741" w14:textId="36E66285" w:rsidR="006A5159" w:rsidRDefault="006A5159">
      <w:pPr>
        <w:pStyle w:val="FootnoteText"/>
      </w:pPr>
      <w:r>
        <w:rPr>
          <w:rStyle w:val="FootnoteReference"/>
        </w:rPr>
        <w:footnoteRef/>
      </w:r>
      <w:r>
        <w:t xml:space="preserve"> </w:t>
      </w:r>
      <w:hyperlink r:id="rId5" w:history="1">
        <w:r w:rsidRPr="006417C5">
          <w:rPr>
            <w:rStyle w:val="Hyperlink"/>
          </w:rPr>
          <w:t>RCW 80.28.068: Rates—Low-income customers. (wa.gov)</w:t>
        </w:r>
      </w:hyperlink>
    </w:p>
  </w:footnote>
  <w:footnote w:id="15">
    <w:p w14:paraId="43F49D6D" w14:textId="4143090B" w:rsidR="009F2EED" w:rsidRDefault="009F2EED">
      <w:pPr>
        <w:pStyle w:val="FootnoteText"/>
      </w:pPr>
      <w:r>
        <w:rPr>
          <w:rStyle w:val="FootnoteReference"/>
        </w:rPr>
        <w:footnoteRef/>
      </w:r>
      <w:r>
        <w:t xml:space="preserve"> </w:t>
      </w:r>
      <w:r w:rsidR="000D0461">
        <w:t xml:space="preserve">Commerce is aware of Franklin County's Rate Advisory Committee, which is made up of ratepayers from all different rate classifications. It is not low-income advisory committee or equity advisory group.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B18DD" w14:textId="7D3D2412" w:rsidR="006A5159" w:rsidRDefault="006A5159" w:rsidP="00A60AB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95" type="#_x0000_t75" style="width:30.7pt;height:30.05pt" o:bullet="t">
        <v:imagedata r:id="rId1" o:title="Bullet_Custom1"/>
      </v:shape>
    </w:pict>
  </w:numPicBullet>
  <w:numPicBullet w:numPicBulletId="1">
    <w:pict>
      <v:shape id="_x0000_i1396" type="#_x0000_t75" style="width:15.05pt;height:15.05pt" o:bullet="t">
        <v:imagedata r:id="rId2" o:title="Bullet_Custom-01"/>
      </v:shape>
    </w:pict>
  </w:numPicBullet>
  <w:abstractNum w:abstractNumId="0" w15:restartNumberingAfterBreak="0">
    <w:nsid w:val="FFFFFF7C"/>
    <w:multiLevelType w:val="singleLevel"/>
    <w:tmpl w:val="BA66800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EB4B81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6C20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554D10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B446B0E"/>
    <w:lvl w:ilvl="0">
      <w:start w:val="1"/>
      <w:numFmt w:val="bullet"/>
      <w:pStyle w:val="ListBullet5"/>
      <w:lvlText w:val=""/>
      <w:lvlJc w:val="left"/>
      <w:pPr>
        <w:ind w:left="1800" w:hanging="360"/>
      </w:pPr>
      <w:rPr>
        <w:rFonts w:ascii="Symbol" w:hAnsi="Symbol" w:hint="default"/>
      </w:rPr>
    </w:lvl>
  </w:abstractNum>
  <w:abstractNum w:abstractNumId="5" w15:restartNumberingAfterBreak="0">
    <w:nsid w:val="FFFFFF81"/>
    <w:multiLevelType w:val="singleLevel"/>
    <w:tmpl w:val="C15A42E0"/>
    <w:lvl w:ilvl="0">
      <w:start w:val="1"/>
      <w:numFmt w:val="bullet"/>
      <w:pStyle w:val="ListBullet4"/>
      <w:lvlText w:val=""/>
      <w:lvlJc w:val="left"/>
      <w:pPr>
        <w:ind w:left="1440" w:hanging="360"/>
      </w:pPr>
      <w:rPr>
        <w:rFonts w:ascii="Symbol" w:hAnsi="Symbol" w:hint="default"/>
        <w:color w:val="EA5F14" w:themeColor="accent2"/>
      </w:rPr>
    </w:lvl>
  </w:abstractNum>
  <w:abstractNum w:abstractNumId="6" w15:restartNumberingAfterBreak="0">
    <w:nsid w:val="FFFFFF82"/>
    <w:multiLevelType w:val="singleLevel"/>
    <w:tmpl w:val="BF6AE9F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403AC4"/>
    <w:lvl w:ilvl="0">
      <w:start w:val="1"/>
      <w:numFmt w:val="bullet"/>
      <w:pStyle w:val="ListBullet2"/>
      <w:lvlText w:val=""/>
      <w:lvlJc w:val="left"/>
      <w:pPr>
        <w:ind w:left="720" w:hanging="360"/>
      </w:pPr>
      <w:rPr>
        <w:rFonts w:ascii="Symbol" w:hAnsi="Symbol" w:hint="default"/>
        <w:color w:val="EA5F14" w:themeColor="accent2"/>
      </w:rPr>
    </w:lvl>
  </w:abstractNum>
  <w:abstractNum w:abstractNumId="8" w15:restartNumberingAfterBreak="0">
    <w:nsid w:val="FFFFFF88"/>
    <w:multiLevelType w:val="singleLevel"/>
    <w:tmpl w:val="3A1A55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C00914"/>
    <w:lvl w:ilvl="0">
      <w:start w:val="1"/>
      <w:numFmt w:val="bullet"/>
      <w:pStyle w:val="ListBullet"/>
      <w:lvlText w:val=""/>
      <w:lvlPicBulletId w:val="1"/>
      <w:lvlJc w:val="left"/>
      <w:pPr>
        <w:ind w:left="360" w:hanging="360"/>
      </w:pPr>
      <w:rPr>
        <w:rFonts w:ascii="Symbol" w:hAnsi="Symbol" w:hint="default"/>
        <w:color w:val="auto"/>
      </w:rPr>
    </w:lvl>
  </w:abstractNum>
  <w:abstractNum w:abstractNumId="10" w15:restartNumberingAfterBreak="0">
    <w:nsid w:val="01A415B8"/>
    <w:multiLevelType w:val="multilevel"/>
    <w:tmpl w:val="0409001D"/>
    <w:styleLink w:val="ListNumberAlpha1"/>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11" w15:restartNumberingAfterBreak="0">
    <w:nsid w:val="0566581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F2B1029"/>
    <w:multiLevelType w:val="hybridMultilevel"/>
    <w:tmpl w:val="4D04F2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5D1C20"/>
    <w:multiLevelType w:val="multilevel"/>
    <w:tmpl w:val="0409001D"/>
    <w:numStyleLink w:val="ListNumberAlpha1"/>
  </w:abstractNum>
  <w:abstractNum w:abstractNumId="14" w15:restartNumberingAfterBreak="0">
    <w:nsid w:val="11082659"/>
    <w:multiLevelType w:val="hybridMultilevel"/>
    <w:tmpl w:val="BC22E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44388A"/>
    <w:multiLevelType w:val="multilevel"/>
    <w:tmpl w:val="18AAA60C"/>
    <w:numStyleLink w:val="ListNumberAlpha2"/>
  </w:abstractNum>
  <w:abstractNum w:abstractNumId="16" w15:restartNumberingAfterBreak="0">
    <w:nsid w:val="21BB3581"/>
    <w:multiLevelType w:val="multilevel"/>
    <w:tmpl w:val="425C37AC"/>
    <w:lvl w:ilvl="0">
      <w:start w:val="1"/>
      <w:numFmt w:val="upperLetter"/>
      <w:lvlText w:val="%1)"/>
      <w:lvlJc w:val="left"/>
      <w:pPr>
        <w:ind w:left="360" w:hanging="360"/>
      </w:pPr>
      <w:rPr>
        <w:rFonts w:hint="default"/>
        <w:color w:val="EA5F14" w:themeColor="accent2"/>
      </w:rPr>
    </w:lvl>
    <w:lvl w:ilvl="1">
      <w:start w:val="1"/>
      <w:numFmt w:val="decimal"/>
      <w:lvlText w:val="%2)"/>
      <w:lvlJc w:val="left"/>
      <w:pPr>
        <w:ind w:left="720" w:hanging="360"/>
      </w:pPr>
      <w:rPr>
        <w:rFonts w:hint="default"/>
        <w:color w:val="EA5F14" w:themeColor="accent2"/>
      </w:rPr>
    </w:lvl>
    <w:lvl w:ilvl="2">
      <w:start w:val="1"/>
      <w:numFmt w:val="lowerRoman"/>
      <w:lvlText w:val="%3)"/>
      <w:lvlJc w:val="left"/>
      <w:pPr>
        <w:ind w:left="1080" w:hanging="360"/>
      </w:pPr>
      <w:rPr>
        <w:rFonts w:hint="default"/>
        <w:color w:val="EA5F14" w:themeColor="accent2"/>
      </w:rPr>
    </w:lvl>
    <w:lvl w:ilvl="3">
      <w:start w:val="1"/>
      <w:numFmt w:val="decimal"/>
      <w:lvlText w:val="(%4)"/>
      <w:lvlJc w:val="left"/>
      <w:pPr>
        <w:ind w:left="1440" w:hanging="360"/>
      </w:pPr>
      <w:rPr>
        <w:rFonts w:hint="default"/>
        <w:color w:val="EA5F14" w:themeColor="accent2"/>
      </w:rPr>
    </w:lvl>
    <w:lvl w:ilvl="4">
      <w:start w:val="1"/>
      <w:numFmt w:val="upperLetter"/>
      <w:lvlText w:val="(%5)"/>
      <w:lvlJc w:val="left"/>
      <w:pPr>
        <w:ind w:left="1800" w:hanging="360"/>
      </w:pPr>
      <w:rPr>
        <w:rFonts w:hint="default"/>
        <w:color w:val="EA5F14" w:themeColor="accent2"/>
      </w:rPr>
    </w:lvl>
    <w:lvl w:ilvl="5">
      <w:start w:val="1"/>
      <w:numFmt w:val="decimal"/>
      <w:lvlText w:val="(%6)"/>
      <w:lvlJc w:val="left"/>
      <w:pPr>
        <w:ind w:left="2160" w:hanging="360"/>
      </w:pPr>
      <w:rPr>
        <w:rFonts w:hint="default"/>
        <w:color w:val="EA5F14" w:themeColor="accent2"/>
      </w:rPr>
    </w:lvl>
    <w:lvl w:ilvl="6">
      <w:start w:val="1"/>
      <w:numFmt w:val="lowerRoman"/>
      <w:lvlText w:val="%7."/>
      <w:lvlJc w:val="left"/>
      <w:pPr>
        <w:ind w:left="2520" w:hanging="360"/>
      </w:pPr>
      <w:rPr>
        <w:rFonts w:hint="default"/>
        <w:color w:val="EA5F14" w:themeColor="accent2"/>
      </w:rPr>
    </w:lvl>
    <w:lvl w:ilvl="7">
      <w:start w:val="1"/>
      <w:numFmt w:val="upperLetter"/>
      <w:lvlText w:val="%8."/>
      <w:lvlJc w:val="left"/>
      <w:pPr>
        <w:ind w:left="2880" w:hanging="360"/>
      </w:pPr>
      <w:rPr>
        <w:rFonts w:hint="default"/>
        <w:color w:val="EA5F14" w:themeColor="accent2"/>
      </w:rPr>
    </w:lvl>
    <w:lvl w:ilvl="8">
      <w:start w:val="1"/>
      <w:numFmt w:val="decimal"/>
      <w:lvlText w:val="%9."/>
      <w:lvlJc w:val="left"/>
      <w:pPr>
        <w:ind w:left="3240" w:hanging="360"/>
      </w:pPr>
      <w:rPr>
        <w:rFonts w:hint="default"/>
        <w:color w:val="EA5F14" w:themeColor="accent2"/>
      </w:rPr>
    </w:lvl>
  </w:abstractNum>
  <w:abstractNum w:abstractNumId="17" w15:restartNumberingAfterBreak="0">
    <w:nsid w:val="234559D3"/>
    <w:multiLevelType w:val="multilevel"/>
    <w:tmpl w:val="0409001D"/>
    <w:styleLink w:val="AlphaList"/>
    <w:lvl w:ilvl="0">
      <w:start w:val="1"/>
      <w:numFmt w:val="upperLetter"/>
      <w:lvlText w:val="%1)"/>
      <w:lvlJc w:val="left"/>
      <w:pPr>
        <w:ind w:left="360" w:hanging="360"/>
      </w:pPr>
      <w:rPr>
        <w:color w:val="EA5F14" w:themeColor="accent2"/>
      </w:rPr>
    </w:lvl>
    <w:lvl w:ilvl="1">
      <w:start w:val="1"/>
      <w:numFmt w:val="decimal"/>
      <w:lvlText w:val="%2)"/>
      <w:lvlJc w:val="left"/>
      <w:pPr>
        <w:ind w:left="720" w:hanging="360"/>
      </w:pPr>
      <w:rPr>
        <w:color w:val="EA5F14" w:themeColor="accent2"/>
      </w:rPr>
    </w:lvl>
    <w:lvl w:ilvl="2">
      <w:start w:val="1"/>
      <w:numFmt w:val="lowerRoman"/>
      <w:lvlText w:val="%3)"/>
      <w:lvlJc w:val="left"/>
      <w:pPr>
        <w:ind w:left="1080" w:hanging="360"/>
      </w:pPr>
      <w:rPr>
        <w:color w:val="EA5F14" w:themeColor="accent2"/>
      </w:rPr>
    </w:lvl>
    <w:lvl w:ilvl="3">
      <w:start w:val="1"/>
      <w:numFmt w:val="lowerLetter"/>
      <w:lvlText w:val="(%4)"/>
      <w:lvlJc w:val="left"/>
      <w:pPr>
        <w:ind w:left="1440" w:hanging="360"/>
      </w:pPr>
      <w:rPr>
        <w:color w:val="EA5F14" w:themeColor="accent2"/>
      </w:rPr>
    </w:lvl>
    <w:lvl w:ilvl="4">
      <w:start w:val="1"/>
      <w:numFmt w:val="decimal"/>
      <w:lvlText w:val="(%5)"/>
      <w:lvlJc w:val="left"/>
      <w:pPr>
        <w:ind w:left="1800" w:hanging="360"/>
      </w:pPr>
      <w:rPr>
        <w:color w:val="EA5F14" w:themeColor="accent2"/>
      </w:rPr>
    </w:lvl>
    <w:lvl w:ilvl="5">
      <w:start w:val="1"/>
      <w:numFmt w:val="lowerRoman"/>
      <w:lvlText w:val="(%6)"/>
      <w:lvlJc w:val="left"/>
      <w:pPr>
        <w:ind w:left="2160" w:hanging="360"/>
      </w:pPr>
      <w:rPr>
        <w:color w:val="EA5F14" w:themeColor="accent2"/>
      </w:rPr>
    </w:lvl>
    <w:lvl w:ilvl="6">
      <w:start w:val="1"/>
      <w:numFmt w:val="lowerLetter"/>
      <w:lvlText w:val="%7."/>
      <w:lvlJc w:val="left"/>
      <w:pPr>
        <w:ind w:left="2520" w:hanging="360"/>
      </w:pPr>
      <w:rPr>
        <w:color w:val="EA5F14" w:themeColor="accent2"/>
      </w:rPr>
    </w:lvl>
    <w:lvl w:ilvl="7">
      <w:start w:val="1"/>
      <w:numFmt w:val="decimal"/>
      <w:lvlText w:val="%8."/>
      <w:lvlJc w:val="left"/>
      <w:pPr>
        <w:ind w:left="2880" w:hanging="360"/>
      </w:pPr>
      <w:rPr>
        <w:color w:val="EA5F14" w:themeColor="accent2"/>
      </w:rPr>
    </w:lvl>
    <w:lvl w:ilvl="8">
      <w:start w:val="1"/>
      <w:numFmt w:val="lowerRoman"/>
      <w:lvlText w:val="%9."/>
      <w:lvlJc w:val="left"/>
      <w:pPr>
        <w:ind w:left="3240" w:hanging="360"/>
      </w:pPr>
      <w:rPr>
        <w:color w:val="EA5F14" w:themeColor="accent2"/>
      </w:rPr>
    </w:lvl>
  </w:abstractNum>
  <w:abstractNum w:abstractNumId="18" w15:restartNumberingAfterBreak="0">
    <w:nsid w:val="249C31C4"/>
    <w:multiLevelType w:val="multilevel"/>
    <w:tmpl w:val="18AAA60C"/>
    <w:numStyleLink w:val="ListNumberAlpha2"/>
  </w:abstractNum>
  <w:abstractNum w:abstractNumId="19" w15:restartNumberingAfterBreak="0">
    <w:nsid w:val="29B00A07"/>
    <w:multiLevelType w:val="multilevel"/>
    <w:tmpl w:val="AE4C49CA"/>
    <w:lvl w:ilvl="0">
      <w:start w:val="1"/>
      <w:numFmt w:val="lowerLetter"/>
      <w:lvlText w:val="%1."/>
      <w:lvlJc w:val="left"/>
      <w:pPr>
        <w:tabs>
          <w:tab w:val="left" w:pos="288"/>
        </w:tabs>
      </w:pPr>
      <w:rPr>
        <w:rFonts w:ascii="Calibri" w:eastAsia="Calibri" w:hAnsi="Calibri"/>
        <w:b/>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DDE53A4"/>
    <w:multiLevelType w:val="multilevel"/>
    <w:tmpl w:val="E8C8D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2077105"/>
    <w:multiLevelType w:val="hybridMultilevel"/>
    <w:tmpl w:val="4E4626FC"/>
    <w:lvl w:ilvl="0" w:tplc="8F08A0F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1E2559"/>
    <w:multiLevelType w:val="hybridMultilevel"/>
    <w:tmpl w:val="EDD22192"/>
    <w:lvl w:ilvl="0" w:tplc="8E4A1E3C">
      <w:start w:val="1"/>
      <w:numFmt w:val="bullet"/>
      <w:lvlText w:val=""/>
      <w:lvlJc w:val="left"/>
      <w:pPr>
        <w:tabs>
          <w:tab w:val="num" w:pos="360"/>
        </w:tabs>
        <w:ind w:left="360" w:hanging="360"/>
      </w:pPr>
      <w:rPr>
        <w:rFonts w:ascii="Symbol" w:hAnsi="Symbol" w:hint="default"/>
        <w:color w:val="6E767D" w:themeColor="accent5"/>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210683"/>
    <w:multiLevelType w:val="hybridMultilevel"/>
    <w:tmpl w:val="3BCC6AF0"/>
    <w:lvl w:ilvl="0" w:tplc="8F08A0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514A90"/>
    <w:multiLevelType w:val="multilevel"/>
    <w:tmpl w:val="18AAA60C"/>
    <w:styleLink w:val="ListNumberAlpha2"/>
    <w:lvl w:ilvl="0">
      <w:start w:val="1"/>
      <w:numFmt w:val="decimal"/>
      <w:lvlText w:val="%1."/>
      <w:lvlJc w:val="left"/>
      <w:pPr>
        <w:ind w:left="720" w:hanging="360"/>
      </w:pPr>
      <w:rPr>
        <w:color w:val="EA5F14" w:themeColor="accent2"/>
      </w:rPr>
    </w:lvl>
    <w:lvl w:ilvl="1">
      <w:start w:val="1"/>
      <w:numFmt w:val="lowerLetter"/>
      <w:lvlText w:val="%2."/>
      <w:lvlJc w:val="left"/>
      <w:pPr>
        <w:ind w:left="1440" w:hanging="360"/>
      </w:pPr>
      <w:rPr>
        <w:color w:val="555555" w:themeColor="text2"/>
      </w:rPr>
    </w:lvl>
    <w:lvl w:ilvl="2">
      <w:start w:val="1"/>
      <w:numFmt w:val="lowerRoman"/>
      <w:lvlText w:val="%3."/>
      <w:lvlJc w:val="right"/>
      <w:pPr>
        <w:ind w:left="2160" w:hanging="180"/>
      </w:pPr>
      <w:rPr>
        <w:color w:val="555555" w:themeColor="text2"/>
      </w:rPr>
    </w:lvl>
    <w:lvl w:ilvl="3">
      <w:start w:val="1"/>
      <w:numFmt w:val="decimal"/>
      <w:lvlText w:val="%4."/>
      <w:lvlJc w:val="left"/>
      <w:pPr>
        <w:ind w:left="2880" w:hanging="360"/>
      </w:pPr>
      <w:rPr>
        <w:color w:val="EA5F14" w:themeColor="accent2"/>
      </w:rPr>
    </w:lvl>
    <w:lvl w:ilvl="4">
      <w:start w:val="1"/>
      <w:numFmt w:val="lowerLetter"/>
      <w:lvlText w:val="%5."/>
      <w:lvlJc w:val="left"/>
      <w:pPr>
        <w:ind w:left="3600" w:hanging="360"/>
      </w:pPr>
      <w:rPr>
        <w:color w:val="555555" w:themeColor="text2"/>
      </w:rPr>
    </w:lvl>
    <w:lvl w:ilvl="5">
      <w:start w:val="1"/>
      <w:numFmt w:val="lowerRoman"/>
      <w:lvlText w:val="%6."/>
      <w:lvlJc w:val="right"/>
      <w:pPr>
        <w:ind w:left="4320" w:hanging="180"/>
      </w:pPr>
      <w:rPr>
        <w:color w:val="555555" w:themeColor="text2"/>
      </w:rPr>
    </w:lvl>
    <w:lvl w:ilvl="6">
      <w:start w:val="1"/>
      <w:numFmt w:val="decimal"/>
      <w:lvlText w:val="%7."/>
      <w:lvlJc w:val="left"/>
      <w:pPr>
        <w:ind w:left="5040" w:hanging="360"/>
      </w:pPr>
      <w:rPr>
        <w:color w:val="EA5F14" w:themeColor="accent2"/>
      </w:rPr>
    </w:lvl>
    <w:lvl w:ilvl="7">
      <w:start w:val="1"/>
      <w:numFmt w:val="lowerLetter"/>
      <w:lvlText w:val="%8."/>
      <w:lvlJc w:val="left"/>
      <w:pPr>
        <w:ind w:left="5760" w:hanging="360"/>
      </w:pPr>
      <w:rPr>
        <w:color w:val="555555" w:themeColor="text2"/>
      </w:rPr>
    </w:lvl>
    <w:lvl w:ilvl="8">
      <w:start w:val="1"/>
      <w:numFmt w:val="lowerRoman"/>
      <w:lvlText w:val="%9."/>
      <w:lvlJc w:val="right"/>
      <w:pPr>
        <w:ind w:left="6480" w:hanging="180"/>
      </w:pPr>
      <w:rPr>
        <w:color w:val="555555" w:themeColor="text2"/>
      </w:rPr>
    </w:lvl>
  </w:abstractNum>
  <w:abstractNum w:abstractNumId="25" w15:restartNumberingAfterBreak="0">
    <w:nsid w:val="3D0F2446"/>
    <w:multiLevelType w:val="multilevel"/>
    <w:tmpl w:val="104C7478"/>
    <w:styleLink w:val="NumberedList"/>
    <w:lvl w:ilvl="0">
      <w:start w:val="1"/>
      <w:numFmt w:val="decimal"/>
      <w:lvlText w:val="%1."/>
      <w:lvlJc w:val="left"/>
      <w:pPr>
        <w:ind w:left="360" w:hanging="360"/>
      </w:pPr>
      <w:rPr>
        <w:rFonts w:ascii="Roboto" w:hAnsi="Roboto" w:hint="default"/>
        <w:color w:val="EA5F14" w:themeColor="accent2"/>
      </w:rPr>
    </w:lvl>
    <w:lvl w:ilvl="1">
      <w:start w:val="1"/>
      <w:numFmt w:val="decimal"/>
      <w:lvlText w:val="%1.%2."/>
      <w:lvlJc w:val="left"/>
      <w:pPr>
        <w:ind w:left="792" w:hanging="432"/>
      </w:pPr>
      <w:rPr>
        <w:rFonts w:hint="default"/>
        <w:color w:val="EA5F14" w:themeColor="accent2"/>
      </w:rPr>
    </w:lvl>
    <w:lvl w:ilvl="2">
      <w:start w:val="1"/>
      <w:numFmt w:val="decimal"/>
      <w:lvlText w:val="%1.%2.%3."/>
      <w:lvlJc w:val="left"/>
      <w:pPr>
        <w:ind w:left="1224" w:hanging="504"/>
      </w:pPr>
      <w:rPr>
        <w:rFonts w:hint="default"/>
        <w:color w:val="EA5F14" w:themeColor="accent2"/>
      </w:rPr>
    </w:lvl>
    <w:lvl w:ilvl="3">
      <w:start w:val="1"/>
      <w:numFmt w:val="decimal"/>
      <w:lvlText w:val="%1.%2.%3.%4."/>
      <w:lvlJc w:val="left"/>
      <w:pPr>
        <w:ind w:left="1728" w:hanging="648"/>
      </w:pPr>
      <w:rPr>
        <w:rFonts w:hint="default"/>
        <w:color w:val="EA5F14" w:themeColor="accent2"/>
      </w:rPr>
    </w:lvl>
    <w:lvl w:ilvl="4">
      <w:start w:val="1"/>
      <w:numFmt w:val="decimal"/>
      <w:lvlText w:val="%1.%2.%3.%4.%5."/>
      <w:lvlJc w:val="left"/>
      <w:pPr>
        <w:ind w:left="2232" w:hanging="792"/>
      </w:pPr>
      <w:rPr>
        <w:rFonts w:hint="default"/>
        <w:color w:val="EA5F14" w:themeColor="accent2"/>
      </w:rPr>
    </w:lvl>
    <w:lvl w:ilvl="5">
      <w:start w:val="1"/>
      <w:numFmt w:val="decimal"/>
      <w:lvlText w:val="%1.%2.%3.%4.%5.%6."/>
      <w:lvlJc w:val="left"/>
      <w:pPr>
        <w:ind w:left="2736" w:hanging="936"/>
      </w:pPr>
      <w:rPr>
        <w:rFonts w:hint="default"/>
        <w:color w:val="EA5F14" w:themeColor="accent2"/>
      </w:rPr>
    </w:lvl>
    <w:lvl w:ilvl="6">
      <w:start w:val="1"/>
      <w:numFmt w:val="decimal"/>
      <w:lvlText w:val="%1.%2.%3.%4.%5.%6.%7."/>
      <w:lvlJc w:val="left"/>
      <w:pPr>
        <w:ind w:left="3240" w:hanging="1080"/>
      </w:pPr>
      <w:rPr>
        <w:rFonts w:hint="default"/>
        <w:color w:val="EA5F14" w:themeColor="accent2"/>
      </w:rPr>
    </w:lvl>
    <w:lvl w:ilvl="7">
      <w:start w:val="1"/>
      <w:numFmt w:val="decimal"/>
      <w:lvlText w:val="%1.%2.%3.%4.%5.%6.%7.%8."/>
      <w:lvlJc w:val="left"/>
      <w:pPr>
        <w:ind w:left="3744" w:hanging="1224"/>
      </w:pPr>
      <w:rPr>
        <w:rFonts w:hint="default"/>
        <w:color w:val="EA5F14" w:themeColor="accent2"/>
      </w:rPr>
    </w:lvl>
    <w:lvl w:ilvl="8">
      <w:start w:val="1"/>
      <w:numFmt w:val="decimal"/>
      <w:lvlText w:val="%1.%2.%3.%4.%5.%6.%7.%8.%9."/>
      <w:lvlJc w:val="left"/>
      <w:pPr>
        <w:ind w:left="4320" w:hanging="1440"/>
      </w:pPr>
      <w:rPr>
        <w:rFonts w:hint="default"/>
        <w:color w:val="EA5F14" w:themeColor="accent2"/>
      </w:rPr>
    </w:lvl>
  </w:abstractNum>
  <w:abstractNum w:abstractNumId="26" w15:restartNumberingAfterBreak="0">
    <w:nsid w:val="41B45943"/>
    <w:multiLevelType w:val="multilevel"/>
    <w:tmpl w:val="38407432"/>
    <w:styleLink w:val="COMMBullets"/>
    <w:lvl w:ilvl="0">
      <w:start w:val="1"/>
      <w:numFmt w:val="bullet"/>
      <w:lvlText w:val=""/>
      <w:lvlPicBulletId w:val="0"/>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EA5F14" w:themeColor="accent2"/>
      </w:rPr>
    </w:lvl>
    <w:lvl w:ilvl="2">
      <w:start w:val="1"/>
      <w:numFmt w:val="bullet"/>
      <w:lvlText w:val=""/>
      <w:lvlJc w:val="left"/>
      <w:pPr>
        <w:ind w:left="1080" w:hanging="360"/>
      </w:pPr>
      <w:rPr>
        <w:rFonts w:ascii="Symbol" w:hAnsi="Symbol" w:hint="default"/>
        <w:color w:val="6E767D" w:themeColor="accent5"/>
      </w:rPr>
    </w:lvl>
    <w:lvl w:ilvl="3">
      <w:start w:val="1"/>
      <w:numFmt w:val="bullet"/>
      <w:lvlText w:val="o"/>
      <w:lvlJc w:val="left"/>
      <w:pPr>
        <w:ind w:left="1440" w:hanging="360"/>
      </w:pPr>
      <w:rPr>
        <w:rFonts w:ascii="Symbol" w:hAnsi="Symbol" w:hint="default"/>
        <w:color w:val="EA5F14" w:themeColor="accent2"/>
      </w:rPr>
    </w:lvl>
    <w:lvl w:ilvl="4">
      <w:start w:val="1"/>
      <w:numFmt w:val="bullet"/>
      <w:lvlText w:val="o"/>
      <w:lvlJc w:val="left"/>
      <w:pPr>
        <w:ind w:left="1800" w:hanging="360"/>
      </w:pPr>
      <w:rPr>
        <w:rFonts w:ascii="Courier New" w:hAnsi="Courier New" w:hint="default"/>
        <w:color w:val="6E767D" w:themeColor="accent5"/>
      </w:rPr>
    </w:lvl>
    <w:lvl w:ilvl="5">
      <w:start w:val="1"/>
      <w:numFmt w:val="bullet"/>
      <w:lvlText w:val=""/>
      <w:lvlJc w:val="left"/>
      <w:pPr>
        <w:ind w:left="2160" w:hanging="360"/>
      </w:pPr>
      <w:rPr>
        <w:rFonts w:ascii="Wingdings" w:hAnsi="Wingdings" w:hint="default"/>
        <w:color w:val="6E767D" w:themeColor="accent5"/>
      </w:rPr>
    </w:lvl>
    <w:lvl w:ilvl="6">
      <w:start w:val="1"/>
      <w:numFmt w:val="bullet"/>
      <w:lvlText w:val=""/>
      <w:lvlJc w:val="left"/>
      <w:pPr>
        <w:ind w:left="2520" w:hanging="360"/>
      </w:pPr>
      <w:rPr>
        <w:rFonts w:ascii="Symbol" w:hAnsi="Symbol" w:hint="default"/>
        <w:color w:val="6E767D" w:themeColor="accent5"/>
      </w:rPr>
    </w:lvl>
    <w:lvl w:ilvl="7">
      <w:start w:val="1"/>
      <w:numFmt w:val="bullet"/>
      <w:lvlText w:val="o"/>
      <w:lvlJc w:val="left"/>
      <w:pPr>
        <w:ind w:left="2880" w:hanging="360"/>
      </w:pPr>
      <w:rPr>
        <w:rFonts w:ascii="Courier New" w:hAnsi="Courier New" w:hint="default"/>
        <w:color w:val="6E767D" w:themeColor="accent5"/>
      </w:rPr>
    </w:lvl>
    <w:lvl w:ilvl="8">
      <w:start w:val="1"/>
      <w:numFmt w:val="bullet"/>
      <w:lvlText w:val=""/>
      <w:lvlJc w:val="left"/>
      <w:pPr>
        <w:ind w:left="3240" w:hanging="360"/>
      </w:pPr>
      <w:rPr>
        <w:rFonts w:ascii="Wingdings" w:hAnsi="Wingdings" w:hint="default"/>
        <w:color w:val="6E767D" w:themeColor="accent5"/>
      </w:rPr>
    </w:lvl>
  </w:abstractNum>
  <w:abstractNum w:abstractNumId="27" w15:restartNumberingAfterBreak="0">
    <w:nsid w:val="41C276D0"/>
    <w:multiLevelType w:val="hybridMultilevel"/>
    <w:tmpl w:val="499E97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0D214A"/>
    <w:multiLevelType w:val="multilevel"/>
    <w:tmpl w:val="0409001D"/>
    <w:numStyleLink w:val="AlphaList"/>
  </w:abstractNum>
  <w:abstractNum w:abstractNumId="29" w15:restartNumberingAfterBreak="0">
    <w:nsid w:val="4DCB2AAC"/>
    <w:multiLevelType w:val="multilevel"/>
    <w:tmpl w:val="38407432"/>
    <w:numStyleLink w:val="COMMBullets"/>
  </w:abstractNum>
  <w:abstractNum w:abstractNumId="30" w15:restartNumberingAfterBreak="0">
    <w:nsid w:val="4EC75D16"/>
    <w:multiLevelType w:val="hybridMultilevel"/>
    <w:tmpl w:val="99AAA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3F56FE"/>
    <w:multiLevelType w:val="multilevel"/>
    <w:tmpl w:val="0409001D"/>
    <w:numStyleLink w:val="ListNumberAlpha1"/>
  </w:abstractNum>
  <w:abstractNum w:abstractNumId="32" w15:restartNumberingAfterBreak="0">
    <w:nsid w:val="53327B6A"/>
    <w:multiLevelType w:val="hybridMultilevel"/>
    <w:tmpl w:val="E82A4AB0"/>
    <w:lvl w:ilvl="0" w:tplc="7270C798">
      <w:start w:val="1"/>
      <w:numFmt w:val="bullet"/>
      <w:pStyle w:val="ListBulletWhite"/>
      <w:lvlText w:val=""/>
      <w:lvlJc w:val="left"/>
      <w:pPr>
        <w:ind w:left="720" w:hanging="360"/>
      </w:pPr>
      <w:rPr>
        <w:rFonts w:ascii="Symbol" w:hAnsi="Symbol"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580C8A"/>
    <w:multiLevelType w:val="multilevel"/>
    <w:tmpl w:val="0409001D"/>
    <w:numStyleLink w:val="AlphaList"/>
  </w:abstractNum>
  <w:abstractNum w:abstractNumId="34" w15:restartNumberingAfterBreak="0">
    <w:nsid w:val="559C113E"/>
    <w:multiLevelType w:val="multilevel"/>
    <w:tmpl w:val="0409001D"/>
    <w:numStyleLink w:val="ListNumberAlpha1"/>
  </w:abstractNum>
  <w:abstractNum w:abstractNumId="35" w15:restartNumberingAfterBreak="0">
    <w:nsid w:val="573C57F7"/>
    <w:multiLevelType w:val="hybridMultilevel"/>
    <w:tmpl w:val="D19A7F84"/>
    <w:lvl w:ilvl="0" w:tplc="79BEF72A">
      <w:start w:val="1"/>
      <w:numFmt w:val="bullet"/>
      <w:lvlText w:val=""/>
      <w:lvlJc w:val="left"/>
      <w:pPr>
        <w:tabs>
          <w:tab w:val="num" w:pos="720"/>
        </w:tabs>
        <w:ind w:left="720" w:hanging="360"/>
      </w:pPr>
      <w:rPr>
        <w:rFonts w:ascii="Symbol" w:hAnsi="Symbol" w:hint="default"/>
        <w:color w:val="EA5F14" w:themeColor="accen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6F0C10"/>
    <w:multiLevelType w:val="multilevel"/>
    <w:tmpl w:val="0409001D"/>
    <w:lvl w:ilvl="0">
      <w:start w:val="1"/>
      <w:numFmt w:val="decimal"/>
      <w:lvlText w:val="%1)"/>
      <w:lvlJc w:val="left"/>
      <w:pPr>
        <w:ind w:left="360" w:hanging="360"/>
      </w:pPr>
      <w:rPr>
        <w:color w:val="EA5F14" w:themeColor="accent2"/>
      </w:rPr>
    </w:lvl>
    <w:lvl w:ilvl="1">
      <w:start w:val="1"/>
      <w:numFmt w:val="lowerLetter"/>
      <w:lvlText w:val="%2)"/>
      <w:lvlJc w:val="left"/>
      <w:pPr>
        <w:ind w:left="720" w:hanging="360"/>
      </w:pPr>
      <w:rPr>
        <w:color w:val="555555" w:themeColor="text2"/>
      </w:rPr>
    </w:lvl>
    <w:lvl w:ilvl="2">
      <w:start w:val="1"/>
      <w:numFmt w:val="lowerRoman"/>
      <w:lvlText w:val="%3)"/>
      <w:lvlJc w:val="left"/>
      <w:pPr>
        <w:ind w:left="1080" w:hanging="360"/>
      </w:pPr>
      <w:rPr>
        <w:color w:val="555555" w:themeColor="text2"/>
      </w:rPr>
    </w:lvl>
    <w:lvl w:ilvl="3">
      <w:start w:val="1"/>
      <w:numFmt w:val="decimal"/>
      <w:lvlText w:val="(%4)"/>
      <w:lvlJc w:val="left"/>
      <w:pPr>
        <w:ind w:left="1440" w:hanging="360"/>
      </w:pPr>
      <w:rPr>
        <w:color w:val="EA5F14" w:themeColor="accent2"/>
      </w:rPr>
    </w:lvl>
    <w:lvl w:ilvl="4">
      <w:start w:val="1"/>
      <w:numFmt w:val="lowerLetter"/>
      <w:lvlText w:val="(%5)"/>
      <w:lvlJc w:val="left"/>
      <w:pPr>
        <w:ind w:left="1800" w:hanging="360"/>
      </w:pPr>
      <w:rPr>
        <w:color w:val="555555" w:themeColor="text2"/>
      </w:rPr>
    </w:lvl>
    <w:lvl w:ilvl="5">
      <w:start w:val="1"/>
      <w:numFmt w:val="lowerRoman"/>
      <w:lvlText w:val="(%6)"/>
      <w:lvlJc w:val="left"/>
      <w:pPr>
        <w:ind w:left="2160" w:hanging="360"/>
      </w:pPr>
      <w:rPr>
        <w:color w:val="555555" w:themeColor="text2"/>
      </w:rPr>
    </w:lvl>
    <w:lvl w:ilvl="6">
      <w:start w:val="1"/>
      <w:numFmt w:val="decimal"/>
      <w:lvlText w:val="%7."/>
      <w:lvlJc w:val="left"/>
      <w:pPr>
        <w:ind w:left="2520" w:hanging="360"/>
      </w:pPr>
      <w:rPr>
        <w:color w:val="EA5F14" w:themeColor="accent2"/>
      </w:rPr>
    </w:lvl>
    <w:lvl w:ilvl="7">
      <w:start w:val="1"/>
      <w:numFmt w:val="lowerLetter"/>
      <w:lvlText w:val="%8."/>
      <w:lvlJc w:val="left"/>
      <w:pPr>
        <w:ind w:left="2880" w:hanging="360"/>
      </w:pPr>
      <w:rPr>
        <w:color w:val="555555" w:themeColor="text2"/>
      </w:rPr>
    </w:lvl>
    <w:lvl w:ilvl="8">
      <w:start w:val="1"/>
      <w:numFmt w:val="lowerRoman"/>
      <w:lvlText w:val="%9."/>
      <w:lvlJc w:val="left"/>
      <w:pPr>
        <w:ind w:left="3240" w:hanging="360"/>
      </w:pPr>
      <w:rPr>
        <w:color w:val="555555" w:themeColor="text2"/>
      </w:rPr>
    </w:lvl>
  </w:abstractNum>
  <w:abstractNum w:abstractNumId="37" w15:restartNumberingAfterBreak="0">
    <w:nsid w:val="611230AE"/>
    <w:multiLevelType w:val="multilevel"/>
    <w:tmpl w:val="DDB64250"/>
    <w:styleLink w:val="OrangeCircle"/>
    <w:lvl w:ilvl="0">
      <w:start w:val="1"/>
      <w:numFmt w:val="bullet"/>
      <w:pStyle w:val="CircleOrange"/>
      <w:lvlText w:val=""/>
      <w:lvlPicBulletId w:val="0"/>
      <w:lvlJc w:val="left"/>
      <w:pPr>
        <w:ind w:left="576" w:hanging="576"/>
      </w:pPr>
      <w:rPr>
        <w:rFonts w:ascii="Symbol" w:hAnsi="Symbol" w:hint="default"/>
        <w:color w:val="auto"/>
        <w:position w:val="-3"/>
        <w:sz w:val="34"/>
      </w:rPr>
    </w:lvl>
    <w:lvl w:ilvl="1">
      <w:start w:val="1"/>
      <w:numFmt w:val="bullet"/>
      <w:lvlText w:val=""/>
      <w:lvlPicBulletId w:val="0"/>
      <w:lvlJc w:val="left"/>
      <w:pPr>
        <w:ind w:left="576" w:hanging="576"/>
      </w:pPr>
      <w:rPr>
        <w:rFonts w:ascii="Symbol" w:hAnsi="Symbol" w:hint="default"/>
        <w:color w:val="auto"/>
        <w:position w:val="-3"/>
        <w:sz w:val="34"/>
      </w:rPr>
    </w:lvl>
    <w:lvl w:ilvl="2">
      <w:start w:val="1"/>
      <w:numFmt w:val="bullet"/>
      <w:lvlText w:val=""/>
      <w:lvlPicBulletId w:val="0"/>
      <w:lvlJc w:val="left"/>
      <w:pPr>
        <w:ind w:left="576" w:hanging="576"/>
      </w:pPr>
      <w:rPr>
        <w:rFonts w:ascii="Symbol" w:hAnsi="Symbol" w:hint="default"/>
        <w:color w:val="auto"/>
        <w:position w:val="-3"/>
        <w:sz w:val="34"/>
      </w:rPr>
    </w:lvl>
    <w:lvl w:ilvl="3">
      <w:start w:val="1"/>
      <w:numFmt w:val="bullet"/>
      <w:lvlText w:val=""/>
      <w:lvlPicBulletId w:val="0"/>
      <w:lvlJc w:val="left"/>
      <w:pPr>
        <w:ind w:left="576" w:hanging="576"/>
      </w:pPr>
      <w:rPr>
        <w:rFonts w:ascii="Symbol" w:hAnsi="Symbol" w:hint="default"/>
        <w:color w:val="auto"/>
        <w:position w:val="-3"/>
        <w:sz w:val="34"/>
      </w:rPr>
    </w:lvl>
    <w:lvl w:ilvl="4">
      <w:start w:val="1"/>
      <w:numFmt w:val="bullet"/>
      <w:lvlText w:val=""/>
      <w:lvlPicBulletId w:val="0"/>
      <w:lvlJc w:val="left"/>
      <w:pPr>
        <w:ind w:left="576" w:hanging="576"/>
      </w:pPr>
      <w:rPr>
        <w:rFonts w:ascii="Symbol" w:hAnsi="Symbol" w:hint="default"/>
        <w:color w:val="auto"/>
        <w:position w:val="-3"/>
        <w:sz w:val="34"/>
      </w:rPr>
    </w:lvl>
    <w:lvl w:ilvl="5">
      <w:start w:val="1"/>
      <w:numFmt w:val="bullet"/>
      <w:lvlText w:val=""/>
      <w:lvlPicBulletId w:val="0"/>
      <w:lvlJc w:val="left"/>
      <w:pPr>
        <w:ind w:left="576" w:hanging="576"/>
      </w:pPr>
      <w:rPr>
        <w:rFonts w:ascii="Symbol" w:hAnsi="Symbol" w:hint="default"/>
        <w:color w:val="auto"/>
        <w:position w:val="-3"/>
        <w:sz w:val="34"/>
      </w:rPr>
    </w:lvl>
    <w:lvl w:ilvl="6">
      <w:start w:val="1"/>
      <w:numFmt w:val="bullet"/>
      <w:lvlText w:val=""/>
      <w:lvlPicBulletId w:val="0"/>
      <w:lvlJc w:val="left"/>
      <w:pPr>
        <w:ind w:left="576" w:hanging="576"/>
      </w:pPr>
      <w:rPr>
        <w:rFonts w:ascii="Symbol" w:hAnsi="Symbol" w:hint="default"/>
        <w:color w:val="auto"/>
        <w:position w:val="-3"/>
        <w:sz w:val="34"/>
      </w:rPr>
    </w:lvl>
    <w:lvl w:ilvl="7">
      <w:start w:val="1"/>
      <w:numFmt w:val="bullet"/>
      <w:lvlText w:val=""/>
      <w:lvlPicBulletId w:val="0"/>
      <w:lvlJc w:val="left"/>
      <w:pPr>
        <w:ind w:left="576" w:hanging="576"/>
      </w:pPr>
      <w:rPr>
        <w:rFonts w:ascii="Symbol" w:hAnsi="Symbol" w:hint="default"/>
        <w:color w:val="auto"/>
        <w:position w:val="-3"/>
        <w:sz w:val="34"/>
      </w:rPr>
    </w:lvl>
    <w:lvl w:ilvl="8">
      <w:start w:val="1"/>
      <w:numFmt w:val="bullet"/>
      <w:lvlText w:val=""/>
      <w:lvlPicBulletId w:val="0"/>
      <w:lvlJc w:val="left"/>
      <w:pPr>
        <w:ind w:left="576" w:hanging="576"/>
      </w:pPr>
      <w:rPr>
        <w:rFonts w:ascii="Symbol" w:hAnsi="Symbol" w:hint="default"/>
        <w:color w:val="auto"/>
        <w:position w:val="-3"/>
        <w:sz w:val="34"/>
      </w:rPr>
    </w:lvl>
  </w:abstractNum>
  <w:abstractNum w:abstractNumId="38" w15:restartNumberingAfterBreak="0">
    <w:nsid w:val="62D730C5"/>
    <w:multiLevelType w:val="hybridMultilevel"/>
    <w:tmpl w:val="7772C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243F9A"/>
    <w:multiLevelType w:val="hybridMultilevel"/>
    <w:tmpl w:val="69B831A4"/>
    <w:lvl w:ilvl="0" w:tplc="8F08A0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015FE4"/>
    <w:multiLevelType w:val="multilevel"/>
    <w:tmpl w:val="0409001D"/>
    <w:numStyleLink w:val="ListNumberAlpha1"/>
  </w:abstractNum>
  <w:abstractNum w:abstractNumId="41" w15:restartNumberingAfterBreak="0">
    <w:nsid w:val="6D924745"/>
    <w:multiLevelType w:val="hybridMultilevel"/>
    <w:tmpl w:val="BD06366C"/>
    <w:lvl w:ilvl="0" w:tplc="8F08A0F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2E743E"/>
    <w:multiLevelType w:val="multilevel"/>
    <w:tmpl w:val="38407432"/>
    <w:numStyleLink w:val="COMMBullets"/>
  </w:abstractNum>
  <w:abstractNum w:abstractNumId="43" w15:restartNumberingAfterBreak="0">
    <w:nsid w:val="7265699F"/>
    <w:multiLevelType w:val="multilevel"/>
    <w:tmpl w:val="0409001D"/>
    <w:numStyleLink w:val="ListNumberAlpha1"/>
  </w:abstractNum>
  <w:abstractNum w:abstractNumId="44" w15:restartNumberingAfterBreak="0">
    <w:nsid w:val="732344AA"/>
    <w:multiLevelType w:val="hybridMultilevel"/>
    <w:tmpl w:val="69B831A4"/>
    <w:lvl w:ilvl="0" w:tplc="8F08A0F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73652F"/>
    <w:multiLevelType w:val="multilevel"/>
    <w:tmpl w:val="0409001D"/>
    <w:numStyleLink w:val="ListNumberAlpha1"/>
  </w:abstractNum>
  <w:abstractNum w:abstractNumId="46" w15:restartNumberingAfterBreak="0">
    <w:nsid w:val="771C4C29"/>
    <w:multiLevelType w:val="multilevel"/>
    <w:tmpl w:val="0409001D"/>
    <w:numStyleLink w:val="ListNumberAlpha1"/>
  </w:abstractNum>
  <w:abstractNum w:abstractNumId="47" w15:restartNumberingAfterBreak="0">
    <w:nsid w:val="7EFF4522"/>
    <w:multiLevelType w:val="multilevel"/>
    <w:tmpl w:val="DDB64250"/>
    <w:numStyleLink w:val="OrangeCircle"/>
  </w:abstractNum>
  <w:num w:numId="1">
    <w:abstractNumId w:val="9"/>
  </w:num>
  <w:num w:numId="2">
    <w:abstractNumId w:val="22"/>
  </w:num>
  <w:num w:numId="3">
    <w:abstractNumId w:val="7"/>
  </w:num>
  <w:num w:numId="4">
    <w:abstractNumId w:val="35"/>
  </w:num>
  <w:num w:numId="5">
    <w:abstractNumId w:val="6"/>
  </w:num>
  <w:num w:numId="6">
    <w:abstractNumId w:val="22"/>
  </w:num>
  <w:num w:numId="7">
    <w:abstractNumId w:val="25"/>
  </w:num>
  <w:num w:numId="8">
    <w:abstractNumId w:val="11"/>
  </w:num>
  <w:num w:numId="9">
    <w:abstractNumId w:val="26"/>
  </w:num>
  <w:num w:numId="10">
    <w:abstractNumId w:val="42"/>
  </w:num>
  <w:num w:numId="11">
    <w:abstractNumId w:val="37"/>
  </w:num>
  <w:num w:numId="12">
    <w:abstractNumId w:val="47"/>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24"/>
  </w:num>
  <w:num w:numId="22">
    <w:abstractNumId w:val="45"/>
  </w:num>
  <w:num w:numId="23">
    <w:abstractNumId w:val="15"/>
  </w:num>
  <w:num w:numId="24">
    <w:abstractNumId w:val="32"/>
  </w:num>
  <w:num w:numId="25">
    <w:abstractNumId w:val="16"/>
  </w:num>
  <w:num w:numId="26">
    <w:abstractNumId w:val="17"/>
  </w:num>
  <w:num w:numId="27">
    <w:abstractNumId w:val="33"/>
  </w:num>
  <w:num w:numId="28">
    <w:abstractNumId w:val="19"/>
  </w:num>
  <w:num w:numId="29">
    <w:abstractNumId w:val="38"/>
  </w:num>
  <w:num w:numId="30">
    <w:abstractNumId w:val="27"/>
  </w:num>
  <w:num w:numId="31">
    <w:abstractNumId w:val="12"/>
  </w:num>
  <w:num w:numId="32">
    <w:abstractNumId w:val="30"/>
  </w:num>
  <w:num w:numId="33">
    <w:abstractNumId w:val="14"/>
  </w:num>
  <w:num w:numId="34">
    <w:abstractNumId w:val="20"/>
  </w:num>
  <w:num w:numId="35">
    <w:abstractNumId w:val="23"/>
  </w:num>
  <w:num w:numId="36">
    <w:abstractNumId w:val="41"/>
  </w:num>
  <w:num w:numId="37">
    <w:abstractNumId w:val="44"/>
  </w:num>
  <w:num w:numId="38">
    <w:abstractNumId w:val="21"/>
  </w:num>
  <w:num w:numId="39">
    <w:abstractNumId w:val="39"/>
  </w:num>
  <w:num w:numId="40">
    <w:abstractNumId w:val="18"/>
  </w:num>
  <w:num w:numId="41">
    <w:abstractNumId w:val="28"/>
  </w:num>
  <w:num w:numId="42">
    <w:abstractNumId w:val="46"/>
  </w:num>
  <w:num w:numId="43">
    <w:abstractNumId w:val="31"/>
  </w:num>
  <w:num w:numId="44">
    <w:abstractNumId w:val="13"/>
  </w:num>
  <w:num w:numId="45">
    <w:abstractNumId w:val="34"/>
  </w:num>
  <w:num w:numId="46">
    <w:abstractNumId w:val="43"/>
  </w:num>
  <w:num w:numId="47">
    <w:abstractNumId w:val="36"/>
  </w:num>
  <w:num w:numId="48">
    <w:abstractNumId w:val="29"/>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formatting="1" w:enforcement="1"/>
  <w:styleLockTheme/>
  <w:styleLockQFSet/>
  <w:defaultTabStop w:val="720"/>
  <w:defaultTableStyle w:val="COMMTableBLUE"/>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249A"/>
    <w:rsid w:val="000005D9"/>
    <w:rsid w:val="00005D4C"/>
    <w:rsid w:val="00006EEB"/>
    <w:rsid w:val="0001059B"/>
    <w:rsid w:val="00014BB7"/>
    <w:rsid w:val="00015998"/>
    <w:rsid w:val="0002372F"/>
    <w:rsid w:val="00025A0B"/>
    <w:rsid w:val="00030083"/>
    <w:rsid w:val="000314AE"/>
    <w:rsid w:val="000404DB"/>
    <w:rsid w:val="00041477"/>
    <w:rsid w:val="00041C9D"/>
    <w:rsid w:val="000516D1"/>
    <w:rsid w:val="00053588"/>
    <w:rsid w:val="00053747"/>
    <w:rsid w:val="00057B7F"/>
    <w:rsid w:val="000654EE"/>
    <w:rsid w:val="000660DA"/>
    <w:rsid w:val="00070E16"/>
    <w:rsid w:val="0007319D"/>
    <w:rsid w:val="000736D0"/>
    <w:rsid w:val="0007535D"/>
    <w:rsid w:val="00081835"/>
    <w:rsid w:val="000846B8"/>
    <w:rsid w:val="00090CB1"/>
    <w:rsid w:val="0009196E"/>
    <w:rsid w:val="00093F4F"/>
    <w:rsid w:val="000A3800"/>
    <w:rsid w:val="000A3B79"/>
    <w:rsid w:val="000A4156"/>
    <w:rsid w:val="000A4439"/>
    <w:rsid w:val="000A6A13"/>
    <w:rsid w:val="000A6CC2"/>
    <w:rsid w:val="000A7BF2"/>
    <w:rsid w:val="000B16C6"/>
    <w:rsid w:val="000B5786"/>
    <w:rsid w:val="000B7675"/>
    <w:rsid w:val="000C29CD"/>
    <w:rsid w:val="000C4757"/>
    <w:rsid w:val="000C69B1"/>
    <w:rsid w:val="000C6E16"/>
    <w:rsid w:val="000D0461"/>
    <w:rsid w:val="000D46BD"/>
    <w:rsid w:val="000D4E2D"/>
    <w:rsid w:val="000D73DF"/>
    <w:rsid w:val="000D7528"/>
    <w:rsid w:val="000F04CB"/>
    <w:rsid w:val="000F0839"/>
    <w:rsid w:val="00101F48"/>
    <w:rsid w:val="001036E5"/>
    <w:rsid w:val="00106749"/>
    <w:rsid w:val="00115961"/>
    <w:rsid w:val="00117ACD"/>
    <w:rsid w:val="001213E7"/>
    <w:rsid w:val="00122AA6"/>
    <w:rsid w:val="001246B5"/>
    <w:rsid w:val="00125072"/>
    <w:rsid w:val="0012522D"/>
    <w:rsid w:val="0012631F"/>
    <w:rsid w:val="00130B96"/>
    <w:rsid w:val="0013516F"/>
    <w:rsid w:val="00140DB9"/>
    <w:rsid w:val="00140E4F"/>
    <w:rsid w:val="001423D7"/>
    <w:rsid w:val="001460C6"/>
    <w:rsid w:val="00151D8E"/>
    <w:rsid w:val="00155BAB"/>
    <w:rsid w:val="00163FE1"/>
    <w:rsid w:val="00164F97"/>
    <w:rsid w:val="00176987"/>
    <w:rsid w:val="00176B72"/>
    <w:rsid w:val="00177CD5"/>
    <w:rsid w:val="001811C4"/>
    <w:rsid w:val="00191563"/>
    <w:rsid w:val="00195653"/>
    <w:rsid w:val="001A010E"/>
    <w:rsid w:val="001A129D"/>
    <w:rsid w:val="001A4E97"/>
    <w:rsid w:val="001A7F16"/>
    <w:rsid w:val="001B0EB9"/>
    <w:rsid w:val="001C0B2D"/>
    <w:rsid w:val="001C23E0"/>
    <w:rsid w:val="001C398B"/>
    <w:rsid w:val="001E2F55"/>
    <w:rsid w:val="001E41C4"/>
    <w:rsid w:val="001E499D"/>
    <w:rsid w:val="001E6EDD"/>
    <w:rsid w:val="001E7909"/>
    <w:rsid w:val="001F1416"/>
    <w:rsid w:val="001F3976"/>
    <w:rsid w:val="001F3D29"/>
    <w:rsid w:val="001F403B"/>
    <w:rsid w:val="00202279"/>
    <w:rsid w:val="00205BC2"/>
    <w:rsid w:val="00211519"/>
    <w:rsid w:val="00214814"/>
    <w:rsid w:val="00215634"/>
    <w:rsid w:val="002316D7"/>
    <w:rsid w:val="00232E99"/>
    <w:rsid w:val="00237396"/>
    <w:rsid w:val="00237BF8"/>
    <w:rsid w:val="00241332"/>
    <w:rsid w:val="002439D9"/>
    <w:rsid w:val="00243B6E"/>
    <w:rsid w:val="00243DDC"/>
    <w:rsid w:val="00247677"/>
    <w:rsid w:val="00256E16"/>
    <w:rsid w:val="0026282D"/>
    <w:rsid w:val="00266068"/>
    <w:rsid w:val="00271430"/>
    <w:rsid w:val="00272FBB"/>
    <w:rsid w:val="00273E16"/>
    <w:rsid w:val="00275B8F"/>
    <w:rsid w:val="00280413"/>
    <w:rsid w:val="00294FF0"/>
    <w:rsid w:val="00295FDD"/>
    <w:rsid w:val="0029604E"/>
    <w:rsid w:val="002977E4"/>
    <w:rsid w:val="002A02A3"/>
    <w:rsid w:val="002A078F"/>
    <w:rsid w:val="002A5B25"/>
    <w:rsid w:val="002A6783"/>
    <w:rsid w:val="002B29BC"/>
    <w:rsid w:val="002B72E6"/>
    <w:rsid w:val="002C3721"/>
    <w:rsid w:val="002C5630"/>
    <w:rsid w:val="002D61E6"/>
    <w:rsid w:val="002D64B5"/>
    <w:rsid w:val="002E0A22"/>
    <w:rsid w:val="002E1159"/>
    <w:rsid w:val="002E3753"/>
    <w:rsid w:val="002F0729"/>
    <w:rsid w:val="002F2D41"/>
    <w:rsid w:val="0030301B"/>
    <w:rsid w:val="0030404B"/>
    <w:rsid w:val="003041D1"/>
    <w:rsid w:val="003044F6"/>
    <w:rsid w:val="003050FA"/>
    <w:rsid w:val="0030555D"/>
    <w:rsid w:val="003216FA"/>
    <w:rsid w:val="00322A68"/>
    <w:rsid w:val="00323534"/>
    <w:rsid w:val="00323BD6"/>
    <w:rsid w:val="003246BF"/>
    <w:rsid w:val="00330EA5"/>
    <w:rsid w:val="0033110D"/>
    <w:rsid w:val="00333E72"/>
    <w:rsid w:val="00334020"/>
    <w:rsid w:val="003354C9"/>
    <w:rsid w:val="0033594B"/>
    <w:rsid w:val="00336030"/>
    <w:rsid w:val="00336764"/>
    <w:rsid w:val="00344056"/>
    <w:rsid w:val="00350EE0"/>
    <w:rsid w:val="00361738"/>
    <w:rsid w:val="00362D7E"/>
    <w:rsid w:val="003706FC"/>
    <w:rsid w:val="0037319F"/>
    <w:rsid w:val="00383298"/>
    <w:rsid w:val="00383C2A"/>
    <w:rsid w:val="00386603"/>
    <w:rsid w:val="00387C62"/>
    <w:rsid w:val="003919E5"/>
    <w:rsid w:val="00396960"/>
    <w:rsid w:val="003A0A63"/>
    <w:rsid w:val="003A2812"/>
    <w:rsid w:val="003A2A74"/>
    <w:rsid w:val="003B2B24"/>
    <w:rsid w:val="003B48DA"/>
    <w:rsid w:val="003C2053"/>
    <w:rsid w:val="003C537C"/>
    <w:rsid w:val="003C69D5"/>
    <w:rsid w:val="003D1A90"/>
    <w:rsid w:val="003D4F78"/>
    <w:rsid w:val="003E4D2C"/>
    <w:rsid w:val="003E7291"/>
    <w:rsid w:val="003F514E"/>
    <w:rsid w:val="00401634"/>
    <w:rsid w:val="004016AA"/>
    <w:rsid w:val="0040232B"/>
    <w:rsid w:val="004030C7"/>
    <w:rsid w:val="00403749"/>
    <w:rsid w:val="00407777"/>
    <w:rsid w:val="0041323F"/>
    <w:rsid w:val="00414553"/>
    <w:rsid w:val="0041557E"/>
    <w:rsid w:val="004178A4"/>
    <w:rsid w:val="0042248E"/>
    <w:rsid w:val="004259C8"/>
    <w:rsid w:val="0043332B"/>
    <w:rsid w:val="0043384A"/>
    <w:rsid w:val="00435421"/>
    <w:rsid w:val="0043734E"/>
    <w:rsid w:val="0044028F"/>
    <w:rsid w:val="00441FD0"/>
    <w:rsid w:val="0044232E"/>
    <w:rsid w:val="00457364"/>
    <w:rsid w:val="00467DF7"/>
    <w:rsid w:val="0047116B"/>
    <w:rsid w:val="00471628"/>
    <w:rsid w:val="00471F38"/>
    <w:rsid w:val="00474A1B"/>
    <w:rsid w:val="00474AD3"/>
    <w:rsid w:val="00475621"/>
    <w:rsid w:val="0047592F"/>
    <w:rsid w:val="004822AF"/>
    <w:rsid w:val="00482A15"/>
    <w:rsid w:val="00482B53"/>
    <w:rsid w:val="00482C4F"/>
    <w:rsid w:val="004834C3"/>
    <w:rsid w:val="00496F79"/>
    <w:rsid w:val="00497191"/>
    <w:rsid w:val="004A11B1"/>
    <w:rsid w:val="004A2AA1"/>
    <w:rsid w:val="004A3AB9"/>
    <w:rsid w:val="004B2EA4"/>
    <w:rsid w:val="004B3408"/>
    <w:rsid w:val="004B3EF5"/>
    <w:rsid w:val="004B5584"/>
    <w:rsid w:val="004B6196"/>
    <w:rsid w:val="004B7EF5"/>
    <w:rsid w:val="004C1D96"/>
    <w:rsid w:val="004C4249"/>
    <w:rsid w:val="004C6A9D"/>
    <w:rsid w:val="004E28EC"/>
    <w:rsid w:val="004E5783"/>
    <w:rsid w:val="004E7B09"/>
    <w:rsid w:val="004F078B"/>
    <w:rsid w:val="004F2ABA"/>
    <w:rsid w:val="0050109B"/>
    <w:rsid w:val="00505A41"/>
    <w:rsid w:val="0051533A"/>
    <w:rsid w:val="00515787"/>
    <w:rsid w:val="005179C6"/>
    <w:rsid w:val="0052277D"/>
    <w:rsid w:val="00526F5E"/>
    <w:rsid w:val="00534B7E"/>
    <w:rsid w:val="00536E51"/>
    <w:rsid w:val="00544A34"/>
    <w:rsid w:val="00544B8C"/>
    <w:rsid w:val="005451BD"/>
    <w:rsid w:val="00546D20"/>
    <w:rsid w:val="005607FF"/>
    <w:rsid w:val="00562E7B"/>
    <w:rsid w:val="005655BA"/>
    <w:rsid w:val="00566A4B"/>
    <w:rsid w:val="0057051F"/>
    <w:rsid w:val="005733AD"/>
    <w:rsid w:val="0057340E"/>
    <w:rsid w:val="00574B4F"/>
    <w:rsid w:val="0058094E"/>
    <w:rsid w:val="00581466"/>
    <w:rsid w:val="005831CF"/>
    <w:rsid w:val="00583A95"/>
    <w:rsid w:val="00583B21"/>
    <w:rsid w:val="005877C8"/>
    <w:rsid w:val="0059195C"/>
    <w:rsid w:val="00591B65"/>
    <w:rsid w:val="0059221D"/>
    <w:rsid w:val="005953E7"/>
    <w:rsid w:val="005A1A09"/>
    <w:rsid w:val="005B0FCF"/>
    <w:rsid w:val="005B4FD1"/>
    <w:rsid w:val="005B5DF7"/>
    <w:rsid w:val="005C089C"/>
    <w:rsid w:val="005C2557"/>
    <w:rsid w:val="005C3D9C"/>
    <w:rsid w:val="005C58F1"/>
    <w:rsid w:val="005C6677"/>
    <w:rsid w:val="005E0AA2"/>
    <w:rsid w:val="005E4498"/>
    <w:rsid w:val="005E7883"/>
    <w:rsid w:val="005F02FD"/>
    <w:rsid w:val="005F05AD"/>
    <w:rsid w:val="005F06F1"/>
    <w:rsid w:val="005F20EF"/>
    <w:rsid w:val="005F2755"/>
    <w:rsid w:val="00601B84"/>
    <w:rsid w:val="006033E0"/>
    <w:rsid w:val="00603C7D"/>
    <w:rsid w:val="006068BE"/>
    <w:rsid w:val="00606BB7"/>
    <w:rsid w:val="00607868"/>
    <w:rsid w:val="00607D45"/>
    <w:rsid w:val="00610A12"/>
    <w:rsid w:val="006118FA"/>
    <w:rsid w:val="0062027E"/>
    <w:rsid w:val="00622AD5"/>
    <w:rsid w:val="00625B75"/>
    <w:rsid w:val="00627940"/>
    <w:rsid w:val="00636DAF"/>
    <w:rsid w:val="006417C5"/>
    <w:rsid w:val="006466FD"/>
    <w:rsid w:val="0065383A"/>
    <w:rsid w:val="006556CC"/>
    <w:rsid w:val="00656509"/>
    <w:rsid w:val="0065797E"/>
    <w:rsid w:val="00661163"/>
    <w:rsid w:val="0066346B"/>
    <w:rsid w:val="006648E5"/>
    <w:rsid w:val="00666921"/>
    <w:rsid w:val="00666F05"/>
    <w:rsid w:val="00671815"/>
    <w:rsid w:val="00672DD1"/>
    <w:rsid w:val="00674253"/>
    <w:rsid w:val="00676665"/>
    <w:rsid w:val="006802BB"/>
    <w:rsid w:val="006830E0"/>
    <w:rsid w:val="00687576"/>
    <w:rsid w:val="00687ED3"/>
    <w:rsid w:val="00690A21"/>
    <w:rsid w:val="00690C89"/>
    <w:rsid w:val="00692362"/>
    <w:rsid w:val="006A0847"/>
    <w:rsid w:val="006A3298"/>
    <w:rsid w:val="006A334F"/>
    <w:rsid w:val="006A5159"/>
    <w:rsid w:val="006A5837"/>
    <w:rsid w:val="006A6FD0"/>
    <w:rsid w:val="006B1283"/>
    <w:rsid w:val="006B28D7"/>
    <w:rsid w:val="006C2869"/>
    <w:rsid w:val="006D6B8C"/>
    <w:rsid w:val="006D6E59"/>
    <w:rsid w:val="006D78C8"/>
    <w:rsid w:val="006E035D"/>
    <w:rsid w:val="006E5B28"/>
    <w:rsid w:val="006E601E"/>
    <w:rsid w:val="006E68AB"/>
    <w:rsid w:val="006F470F"/>
    <w:rsid w:val="006F73F5"/>
    <w:rsid w:val="00702E10"/>
    <w:rsid w:val="007045ED"/>
    <w:rsid w:val="007220BE"/>
    <w:rsid w:val="00723362"/>
    <w:rsid w:val="00724CDD"/>
    <w:rsid w:val="007276A9"/>
    <w:rsid w:val="00732D68"/>
    <w:rsid w:val="0073419D"/>
    <w:rsid w:val="00736045"/>
    <w:rsid w:val="00741DC6"/>
    <w:rsid w:val="00742845"/>
    <w:rsid w:val="00743ADB"/>
    <w:rsid w:val="0075137E"/>
    <w:rsid w:val="00751D30"/>
    <w:rsid w:val="00753758"/>
    <w:rsid w:val="00756F8B"/>
    <w:rsid w:val="00757265"/>
    <w:rsid w:val="00760FF7"/>
    <w:rsid w:val="00761FD5"/>
    <w:rsid w:val="0076264F"/>
    <w:rsid w:val="007704D4"/>
    <w:rsid w:val="00775DFB"/>
    <w:rsid w:val="00776A29"/>
    <w:rsid w:val="0077784E"/>
    <w:rsid w:val="00780A63"/>
    <w:rsid w:val="00783AD2"/>
    <w:rsid w:val="00787642"/>
    <w:rsid w:val="007876ED"/>
    <w:rsid w:val="00790589"/>
    <w:rsid w:val="00790CD8"/>
    <w:rsid w:val="00790EE2"/>
    <w:rsid w:val="00791B38"/>
    <w:rsid w:val="00793B2E"/>
    <w:rsid w:val="00797B42"/>
    <w:rsid w:val="007A05CD"/>
    <w:rsid w:val="007A0C1F"/>
    <w:rsid w:val="007A6975"/>
    <w:rsid w:val="007A770C"/>
    <w:rsid w:val="007B048F"/>
    <w:rsid w:val="007B466A"/>
    <w:rsid w:val="007B4F58"/>
    <w:rsid w:val="007B4FAF"/>
    <w:rsid w:val="007B7BF1"/>
    <w:rsid w:val="007C0B1B"/>
    <w:rsid w:val="007C576C"/>
    <w:rsid w:val="007C7C03"/>
    <w:rsid w:val="007D029E"/>
    <w:rsid w:val="007D18E9"/>
    <w:rsid w:val="007D64B6"/>
    <w:rsid w:val="007D7941"/>
    <w:rsid w:val="007E0018"/>
    <w:rsid w:val="007E2027"/>
    <w:rsid w:val="007E2404"/>
    <w:rsid w:val="007E255E"/>
    <w:rsid w:val="007F0AFE"/>
    <w:rsid w:val="007F63E9"/>
    <w:rsid w:val="008025D0"/>
    <w:rsid w:val="008119AF"/>
    <w:rsid w:val="008146DF"/>
    <w:rsid w:val="008239CD"/>
    <w:rsid w:val="00824F77"/>
    <w:rsid w:val="008300F7"/>
    <w:rsid w:val="00834790"/>
    <w:rsid w:val="008402E4"/>
    <w:rsid w:val="00840B4A"/>
    <w:rsid w:val="00842760"/>
    <w:rsid w:val="00845089"/>
    <w:rsid w:val="008461B9"/>
    <w:rsid w:val="00851BA9"/>
    <w:rsid w:val="00852B8E"/>
    <w:rsid w:val="00854CD3"/>
    <w:rsid w:val="00860DA6"/>
    <w:rsid w:val="0087415D"/>
    <w:rsid w:val="00875072"/>
    <w:rsid w:val="00882CBF"/>
    <w:rsid w:val="008971AF"/>
    <w:rsid w:val="008A0076"/>
    <w:rsid w:val="008A1A30"/>
    <w:rsid w:val="008A21CC"/>
    <w:rsid w:val="008A23A9"/>
    <w:rsid w:val="008A63EA"/>
    <w:rsid w:val="008B04B1"/>
    <w:rsid w:val="008B11AD"/>
    <w:rsid w:val="008B3A6F"/>
    <w:rsid w:val="008C5FB6"/>
    <w:rsid w:val="008D10A9"/>
    <w:rsid w:val="008D6E0C"/>
    <w:rsid w:val="008D7EC7"/>
    <w:rsid w:val="008E0E38"/>
    <w:rsid w:val="008E5456"/>
    <w:rsid w:val="008E7A67"/>
    <w:rsid w:val="008E7BDA"/>
    <w:rsid w:val="008F1103"/>
    <w:rsid w:val="008F458E"/>
    <w:rsid w:val="0090592C"/>
    <w:rsid w:val="009104B2"/>
    <w:rsid w:val="00911748"/>
    <w:rsid w:val="00911AB9"/>
    <w:rsid w:val="00911B02"/>
    <w:rsid w:val="0091368A"/>
    <w:rsid w:val="00915030"/>
    <w:rsid w:val="00923FDE"/>
    <w:rsid w:val="00924282"/>
    <w:rsid w:val="009248B0"/>
    <w:rsid w:val="0092579B"/>
    <w:rsid w:val="009300BD"/>
    <w:rsid w:val="0093201A"/>
    <w:rsid w:val="009327B9"/>
    <w:rsid w:val="0093345C"/>
    <w:rsid w:val="009404DC"/>
    <w:rsid w:val="0094339F"/>
    <w:rsid w:val="009446FE"/>
    <w:rsid w:val="009449A8"/>
    <w:rsid w:val="009506D4"/>
    <w:rsid w:val="00961E4A"/>
    <w:rsid w:val="00963630"/>
    <w:rsid w:val="00963A6A"/>
    <w:rsid w:val="0097173E"/>
    <w:rsid w:val="00975639"/>
    <w:rsid w:val="00981596"/>
    <w:rsid w:val="00983BEA"/>
    <w:rsid w:val="00986400"/>
    <w:rsid w:val="009869F2"/>
    <w:rsid w:val="00990E00"/>
    <w:rsid w:val="00993045"/>
    <w:rsid w:val="0099590A"/>
    <w:rsid w:val="009A37DE"/>
    <w:rsid w:val="009A498D"/>
    <w:rsid w:val="009A54EE"/>
    <w:rsid w:val="009A6BCF"/>
    <w:rsid w:val="009B2B24"/>
    <w:rsid w:val="009C4840"/>
    <w:rsid w:val="009C4DBC"/>
    <w:rsid w:val="009D488A"/>
    <w:rsid w:val="009D4B74"/>
    <w:rsid w:val="009E099D"/>
    <w:rsid w:val="009E4279"/>
    <w:rsid w:val="009E4EED"/>
    <w:rsid w:val="009E501C"/>
    <w:rsid w:val="009E777A"/>
    <w:rsid w:val="009E7CB3"/>
    <w:rsid w:val="009F2907"/>
    <w:rsid w:val="009F2EED"/>
    <w:rsid w:val="009F6942"/>
    <w:rsid w:val="00A00BF7"/>
    <w:rsid w:val="00A03779"/>
    <w:rsid w:val="00A166A5"/>
    <w:rsid w:val="00A179FC"/>
    <w:rsid w:val="00A21471"/>
    <w:rsid w:val="00A2272E"/>
    <w:rsid w:val="00A272FA"/>
    <w:rsid w:val="00A31DF3"/>
    <w:rsid w:val="00A32908"/>
    <w:rsid w:val="00A3462C"/>
    <w:rsid w:val="00A352D2"/>
    <w:rsid w:val="00A37795"/>
    <w:rsid w:val="00A41966"/>
    <w:rsid w:val="00A44F4D"/>
    <w:rsid w:val="00A4663F"/>
    <w:rsid w:val="00A47391"/>
    <w:rsid w:val="00A53EDD"/>
    <w:rsid w:val="00A55043"/>
    <w:rsid w:val="00A609E2"/>
    <w:rsid w:val="00A60AB0"/>
    <w:rsid w:val="00A726CE"/>
    <w:rsid w:val="00A75E16"/>
    <w:rsid w:val="00A7765E"/>
    <w:rsid w:val="00A821F5"/>
    <w:rsid w:val="00A8249A"/>
    <w:rsid w:val="00AA1136"/>
    <w:rsid w:val="00AA1E1B"/>
    <w:rsid w:val="00AA348B"/>
    <w:rsid w:val="00AA590E"/>
    <w:rsid w:val="00AB2801"/>
    <w:rsid w:val="00AB3563"/>
    <w:rsid w:val="00AB5FB0"/>
    <w:rsid w:val="00AB6608"/>
    <w:rsid w:val="00AC0507"/>
    <w:rsid w:val="00AC17AF"/>
    <w:rsid w:val="00AC38ED"/>
    <w:rsid w:val="00AC6DB4"/>
    <w:rsid w:val="00AC70B7"/>
    <w:rsid w:val="00AD2F23"/>
    <w:rsid w:val="00AD344E"/>
    <w:rsid w:val="00AD7B54"/>
    <w:rsid w:val="00AE3D2E"/>
    <w:rsid w:val="00AE4E76"/>
    <w:rsid w:val="00AE60D6"/>
    <w:rsid w:val="00AF0FE5"/>
    <w:rsid w:val="00AF4B1C"/>
    <w:rsid w:val="00AF5B2E"/>
    <w:rsid w:val="00AF5D2C"/>
    <w:rsid w:val="00AF62DE"/>
    <w:rsid w:val="00B00CAD"/>
    <w:rsid w:val="00B01A94"/>
    <w:rsid w:val="00B06D69"/>
    <w:rsid w:val="00B10431"/>
    <w:rsid w:val="00B12A27"/>
    <w:rsid w:val="00B13E05"/>
    <w:rsid w:val="00B14C7D"/>
    <w:rsid w:val="00B16E16"/>
    <w:rsid w:val="00B17235"/>
    <w:rsid w:val="00B22606"/>
    <w:rsid w:val="00B25A40"/>
    <w:rsid w:val="00B25F08"/>
    <w:rsid w:val="00B25FE8"/>
    <w:rsid w:val="00B275EE"/>
    <w:rsid w:val="00B35182"/>
    <w:rsid w:val="00B4219D"/>
    <w:rsid w:val="00B432F3"/>
    <w:rsid w:val="00B50172"/>
    <w:rsid w:val="00B547E2"/>
    <w:rsid w:val="00B55B44"/>
    <w:rsid w:val="00B56B79"/>
    <w:rsid w:val="00B61554"/>
    <w:rsid w:val="00B63133"/>
    <w:rsid w:val="00B636C6"/>
    <w:rsid w:val="00B64E53"/>
    <w:rsid w:val="00B70D2E"/>
    <w:rsid w:val="00B72FCE"/>
    <w:rsid w:val="00B84F4C"/>
    <w:rsid w:val="00B91095"/>
    <w:rsid w:val="00B93C33"/>
    <w:rsid w:val="00B96C4E"/>
    <w:rsid w:val="00BA1277"/>
    <w:rsid w:val="00BA2141"/>
    <w:rsid w:val="00BA23FE"/>
    <w:rsid w:val="00BB2FDB"/>
    <w:rsid w:val="00BB490D"/>
    <w:rsid w:val="00BB7F0A"/>
    <w:rsid w:val="00BD0CEB"/>
    <w:rsid w:val="00BD538A"/>
    <w:rsid w:val="00BD62FB"/>
    <w:rsid w:val="00BD729D"/>
    <w:rsid w:val="00BE152C"/>
    <w:rsid w:val="00BE3139"/>
    <w:rsid w:val="00BE3285"/>
    <w:rsid w:val="00BF4C13"/>
    <w:rsid w:val="00C077C3"/>
    <w:rsid w:val="00C17B80"/>
    <w:rsid w:val="00C2470A"/>
    <w:rsid w:val="00C2650A"/>
    <w:rsid w:val="00C419C4"/>
    <w:rsid w:val="00C427A9"/>
    <w:rsid w:val="00C44470"/>
    <w:rsid w:val="00C5009F"/>
    <w:rsid w:val="00C51464"/>
    <w:rsid w:val="00C64ABC"/>
    <w:rsid w:val="00C651CD"/>
    <w:rsid w:val="00C65F86"/>
    <w:rsid w:val="00C7162E"/>
    <w:rsid w:val="00C71B43"/>
    <w:rsid w:val="00C72AC0"/>
    <w:rsid w:val="00C751A6"/>
    <w:rsid w:val="00C9482A"/>
    <w:rsid w:val="00CA06A0"/>
    <w:rsid w:val="00CA262A"/>
    <w:rsid w:val="00CA4125"/>
    <w:rsid w:val="00CA5FE9"/>
    <w:rsid w:val="00CB0CDD"/>
    <w:rsid w:val="00CB1448"/>
    <w:rsid w:val="00CC1F86"/>
    <w:rsid w:val="00CE169C"/>
    <w:rsid w:val="00CF3E80"/>
    <w:rsid w:val="00D00034"/>
    <w:rsid w:val="00D03061"/>
    <w:rsid w:val="00D04DC2"/>
    <w:rsid w:val="00D05950"/>
    <w:rsid w:val="00D076A5"/>
    <w:rsid w:val="00D1327C"/>
    <w:rsid w:val="00D165A9"/>
    <w:rsid w:val="00D31B49"/>
    <w:rsid w:val="00D35190"/>
    <w:rsid w:val="00D3569E"/>
    <w:rsid w:val="00D361CA"/>
    <w:rsid w:val="00D36D3B"/>
    <w:rsid w:val="00D40E91"/>
    <w:rsid w:val="00D463EE"/>
    <w:rsid w:val="00D4730E"/>
    <w:rsid w:val="00D477AF"/>
    <w:rsid w:val="00D51B3D"/>
    <w:rsid w:val="00D51F46"/>
    <w:rsid w:val="00D57E7E"/>
    <w:rsid w:val="00D65573"/>
    <w:rsid w:val="00D7540C"/>
    <w:rsid w:val="00D75D1B"/>
    <w:rsid w:val="00D76326"/>
    <w:rsid w:val="00D76352"/>
    <w:rsid w:val="00D76596"/>
    <w:rsid w:val="00D76C80"/>
    <w:rsid w:val="00D76F2A"/>
    <w:rsid w:val="00D8073D"/>
    <w:rsid w:val="00D91F11"/>
    <w:rsid w:val="00D92746"/>
    <w:rsid w:val="00DA5071"/>
    <w:rsid w:val="00DA6D8D"/>
    <w:rsid w:val="00DB3861"/>
    <w:rsid w:val="00DB7A44"/>
    <w:rsid w:val="00DB7B04"/>
    <w:rsid w:val="00DC0E70"/>
    <w:rsid w:val="00DC1978"/>
    <w:rsid w:val="00DC2733"/>
    <w:rsid w:val="00DC5093"/>
    <w:rsid w:val="00DC62C6"/>
    <w:rsid w:val="00DD0712"/>
    <w:rsid w:val="00DE1BC9"/>
    <w:rsid w:val="00DE2A5C"/>
    <w:rsid w:val="00DE5367"/>
    <w:rsid w:val="00DF1AF3"/>
    <w:rsid w:val="00DF3207"/>
    <w:rsid w:val="00E043DA"/>
    <w:rsid w:val="00E050C3"/>
    <w:rsid w:val="00E07B77"/>
    <w:rsid w:val="00E15879"/>
    <w:rsid w:val="00E164E4"/>
    <w:rsid w:val="00E17E49"/>
    <w:rsid w:val="00E208B1"/>
    <w:rsid w:val="00E20B20"/>
    <w:rsid w:val="00E21D33"/>
    <w:rsid w:val="00E3129F"/>
    <w:rsid w:val="00E3218B"/>
    <w:rsid w:val="00E37E77"/>
    <w:rsid w:val="00E43BFF"/>
    <w:rsid w:val="00E50E37"/>
    <w:rsid w:val="00E54396"/>
    <w:rsid w:val="00E54D68"/>
    <w:rsid w:val="00E6386B"/>
    <w:rsid w:val="00E64597"/>
    <w:rsid w:val="00E67BF5"/>
    <w:rsid w:val="00E71C73"/>
    <w:rsid w:val="00E71F8B"/>
    <w:rsid w:val="00E73602"/>
    <w:rsid w:val="00E750C4"/>
    <w:rsid w:val="00E77687"/>
    <w:rsid w:val="00E80624"/>
    <w:rsid w:val="00E91ECB"/>
    <w:rsid w:val="00E94725"/>
    <w:rsid w:val="00EA6400"/>
    <w:rsid w:val="00EC056C"/>
    <w:rsid w:val="00EC1547"/>
    <w:rsid w:val="00EC265A"/>
    <w:rsid w:val="00EC3D3E"/>
    <w:rsid w:val="00EC49EF"/>
    <w:rsid w:val="00ED2523"/>
    <w:rsid w:val="00ED5369"/>
    <w:rsid w:val="00ED6889"/>
    <w:rsid w:val="00EE0A4C"/>
    <w:rsid w:val="00EE20FA"/>
    <w:rsid w:val="00EE6DE0"/>
    <w:rsid w:val="00EE717E"/>
    <w:rsid w:val="00EE72BB"/>
    <w:rsid w:val="00EF2F51"/>
    <w:rsid w:val="00EF49EA"/>
    <w:rsid w:val="00EF5CC4"/>
    <w:rsid w:val="00F133B8"/>
    <w:rsid w:val="00F1770F"/>
    <w:rsid w:val="00F236B8"/>
    <w:rsid w:val="00F254B6"/>
    <w:rsid w:val="00F3060D"/>
    <w:rsid w:val="00F3223B"/>
    <w:rsid w:val="00F33157"/>
    <w:rsid w:val="00F40529"/>
    <w:rsid w:val="00F43070"/>
    <w:rsid w:val="00F433A6"/>
    <w:rsid w:val="00F44E5D"/>
    <w:rsid w:val="00F5530B"/>
    <w:rsid w:val="00F56BEC"/>
    <w:rsid w:val="00F57838"/>
    <w:rsid w:val="00F67D04"/>
    <w:rsid w:val="00F67D7F"/>
    <w:rsid w:val="00F70C27"/>
    <w:rsid w:val="00F70E3F"/>
    <w:rsid w:val="00F74049"/>
    <w:rsid w:val="00F77F69"/>
    <w:rsid w:val="00F9258F"/>
    <w:rsid w:val="00FA3D16"/>
    <w:rsid w:val="00FB1ABC"/>
    <w:rsid w:val="00FB224C"/>
    <w:rsid w:val="00FB2F04"/>
    <w:rsid w:val="00FB64E6"/>
    <w:rsid w:val="00FC36B6"/>
    <w:rsid w:val="00FC38C2"/>
    <w:rsid w:val="00FC54A3"/>
    <w:rsid w:val="00FD2FB1"/>
    <w:rsid w:val="00FD3C15"/>
    <w:rsid w:val="00FD6888"/>
    <w:rsid w:val="00FD6E1D"/>
    <w:rsid w:val="00FE04C1"/>
    <w:rsid w:val="00FE43F8"/>
    <w:rsid w:val="00FE6050"/>
    <w:rsid w:val="00FF0A9D"/>
    <w:rsid w:val="00FF4A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17995"/>
  <w14:discardImageEditingData/>
  <w14:defaultImageDpi w14:val="330"/>
  <w15:chartTrackingRefBased/>
  <w15:docId w15:val="{5BF40696-D801-4AAD-AB57-C9BFA61535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Theme="minorHAnsi" w:hAnsi="Roboto" w:cstheme="minorBidi"/>
        <w:color w:val="FF2AA3" w:themeColor="accent4" w:themeTint="99"/>
        <w:sz w:val="22"/>
        <w:szCs w:val="22"/>
        <w:lang w:val="en-US" w:eastAsia="en-US" w:bidi="ar-SA"/>
      </w:rPr>
    </w:rPrDefault>
    <w:pPrDefault>
      <w:pPr>
        <w:spacing w:after="160" w:line="259" w:lineRule="auto"/>
      </w:pPr>
    </w:pPrDefault>
  </w:docDefaults>
  <w:latentStyles w:defLockedState="1" w:defUIPriority="99" w:defSemiHidden="0" w:defUnhideWhenUsed="0" w:defQFormat="0" w:count="371">
    <w:lsdException w:name="Normal" w:locked="0" w:uiPriority="13" w:qFormat="1"/>
    <w:lsdException w:name="heading 1" w:locked="0" w:uiPriority="1" w:qFormat="1"/>
    <w:lsdException w:name="heading 2" w:locked="0" w:semiHidden="1" w:uiPriority="1" w:unhideWhenUsed="1" w:qFormat="1"/>
    <w:lsdException w:name="heading 3" w:locked="0" w:semiHidden="1" w:uiPriority="9" w:unhideWhenUsed="1" w:qFormat="1"/>
    <w:lsdException w:name="heading 4" w:locked="0"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9" w:unhideWhenUsed="1"/>
    <w:lsdException w:name="toc 4" w:semiHidden="1" w:uiPriority="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locked="0"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iPriority="10" w:unhideWhenUsed="1" w:qFormat="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iPriority="10" w:unhideWhenUsed="1" w:qFormat="1"/>
    <w:lsdException w:name="List Bullet 3" w:locked="0" w:semiHidden="1" w:uiPriority="10" w:unhideWhenUsed="1" w:qFormat="1"/>
    <w:lsdException w:name="List Bullet 4" w:locked="0" w:uiPriority="10"/>
    <w:lsdException w:name="List Bullet 5" w:locked="0" w:uiPriority="10"/>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0" w:qFormat="1"/>
    <w:lsdException w:name="Closing" w:semiHidden="1" w:unhideWhenUsed="1"/>
    <w:lsdException w:name="Signature" w:semiHidden="1" w:unhideWhenUsed="1"/>
    <w:lsdException w:name="Default Paragraph Font" w:locked="0" w:semiHidden="1" w:uiPriority="1" w:unhideWhenUsed="1" w:qFormat="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uiPriority="3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Strong" w:uiPriority="22" w:qFormat="1"/>
    <w:lsdException w:name="Emphasis" w:semiHidden="1" w:uiPriority="20" w:unhideWhenUsed="1" w:qFormat="1"/>
    <w:lsdException w:name="Document Map"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3"/>
    <w:unhideWhenUsed/>
    <w:qFormat/>
    <w:rsid w:val="00AD7B54"/>
  </w:style>
  <w:style w:type="paragraph" w:styleId="Heading1">
    <w:name w:val="heading 1"/>
    <w:next w:val="Bodycopy1"/>
    <w:link w:val="Heading1Char"/>
    <w:uiPriority w:val="1"/>
    <w:qFormat/>
    <w:rsid w:val="000B7675"/>
    <w:pPr>
      <w:keepNext/>
      <w:spacing w:before="360" w:after="0"/>
      <w:outlineLvl w:val="0"/>
    </w:pPr>
    <w:rPr>
      <w:rFonts w:ascii="Roboto Light" w:hAnsi="Roboto Light"/>
      <w:color w:val="EA5F14" w:themeColor="accent2"/>
      <w:sz w:val="44"/>
      <w:szCs w:val="44"/>
    </w:rPr>
  </w:style>
  <w:style w:type="paragraph" w:styleId="Heading2">
    <w:name w:val="heading 2"/>
    <w:next w:val="Bodycopy1"/>
    <w:link w:val="Heading2Char"/>
    <w:uiPriority w:val="1"/>
    <w:qFormat/>
    <w:rsid w:val="000B7675"/>
    <w:pPr>
      <w:keepNext/>
      <w:spacing w:before="160" w:after="0"/>
      <w:outlineLvl w:val="1"/>
    </w:pPr>
    <w:rPr>
      <w:rFonts w:ascii="Roboto Light" w:hAnsi="Roboto Light"/>
      <w:color w:val="555555" w:themeColor="text1"/>
      <w:sz w:val="36"/>
      <w:szCs w:val="44"/>
    </w:rPr>
  </w:style>
  <w:style w:type="paragraph" w:styleId="Heading3">
    <w:name w:val="heading 3"/>
    <w:next w:val="Bodycopy1"/>
    <w:link w:val="Heading3Char"/>
    <w:uiPriority w:val="1"/>
    <w:qFormat/>
    <w:rsid w:val="000B7675"/>
    <w:pPr>
      <w:keepNext/>
      <w:spacing w:before="160" w:after="0"/>
      <w:outlineLvl w:val="2"/>
    </w:pPr>
    <w:rPr>
      <w:color w:val="00ADD6"/>
      <w:sz w:val="32"/>
      <w:szCs w:val="32"/>
    </w:rPr>
  </w:style>
  <w:style w:type="paragraph" w:styleId="Heading4">
    <w:name w:val="heading 4"/>
    <w:basedOn w:val="Normal"/>
    <w:next w:val="Normal"/>
    <w:link w:val="Heading4Char"/>
    <w:uiPriority w:val="1"/>
    <w:qFormat/>
    <w:rsid w:val="00761FD5"/>
    <w:pPr>
      <w:keepNext/>
      <w:keepLines/>
      <w:spacing w:before="40" w:after="0"/>
      <w:outlineLvl w:val="3"/>
    </w:pPr>
    <w:rPr>
      <w:rFonts w:eastAsiaTheme="majorEastAsia" w:cstheme="majorBidi"/>
      <w:b/>
      <w:iCs/>
      <w:color w:val="EA5F14" w:themeColor="accent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locked/>
    <w:rsid w:val="007B4FAF"/>
    <w:pPr>
      <w:spacing w:after="0" w:line="240" w:lineRule="auto"/>
    </w:pPr>
    <w:rPr>
      <w:rFonts w:ascii="Segoe UI" w:hAnsi="Segoe UI" w:cs="Segoe UI"/>
      <w:color w:val="EA5F14" w:themeColor="accent2"/>
      <w:sz w:val="18"/>
      <w:szCs w:val="18"/>
    </w:rPr>
  </w:style>
  <w:style w:type="character" w:customStyle="1" w:styleId="BalloonTextChar">
    <w:name w:val="Balloon Text Char"/>
    <w:basedOn w:val="DefaultParagraphFont"/>
    <w:link w:val="BalloonText"/>
    <w:uiPriority w:val="99"/>
    <w:semiHidden/>
    <w:rsid w:val="007B4FAF"/>
    <w:rPr>
      <w:rFonts w:ascii="Segoe UI" w:hAnsi="Segoe UI" w:cs="Segoe UI"/>
      <w:color w:val="EA5F14" w:themeColor="accent2"/>
      <w:sz w:val="18"/>
      <w:szCs w:val="18"/>
    </w:rPr>
  </w:style>
  <w:style w:type="paragraph" w:customStyle="1" w:styleId="Bodycopy1">
    <w:name w:val="Body copy 1"/>
    <w:link w:val="Bodycopy1Char"/>
    <w:uiPriority w:val="2"/>
    <w:qFormat/>
    <w:rsid w:val="00151D8E"/>
    <w:pPr>
      <w:spacing w:after="240"/>
    </w:pPr>
    <w:rPr>
      <w:color w:val="555555" w:themeColor="text1"/>
    </w:rPr>
  </w:style>
  <w:style w:type="character" w:customStyle="1" w:styleId="Bodycopy1Char">
    <w:name w:val="Body copy 1 Char"/>
    <w:basedOn w:val="DefaultParagraphFont"/>
    <w:link w:val="Bodycopy1"/>
    <w:uiPriority w:val="2"/>
    <w:rsid w:val="00151D8E"/>
    <w:rPr>
      <w:color w:val="555555" w:themeColor="text1"/>
    </w:rPr>
  </w:style>
  <w:style w:type="paragraph" w:customStyle="1" w:styleId="Bodycopy1White">
    <w:name w:val="Body copy 1 (White)"/>
    <w:basedOn w:val="Bodycopy1"/>
    <w:link w:val="Bodycopy1WhiteChar"/>
    <w:uiPriority w:val="2"/>
    <w:qFormat/>
    <w:rsid w:val="007B4FAF"/>
    <w:rPr>
      <w:color w:val="FFFFFF" w:themeColor="background1"/>
    </w:rPr>
  </w:style>
  <w:style w:type="character" w:customStyle="1" w:styleId="Bodycopy1WhiteChar">
    <w:name w:val="Body copy 1 (White) Char"/>
    <w:basedOn w:val="Bodycopy1Char"/>
    <w:link w:val="Bodycopy1White"/>
    <w:uiPriority w:val="2"/>
    <w:rsid w:val="007B4FAF"/>
    <w:rPr>
      <w:rFonts w:ascii="Roboto" w:hAnsi="Roboto"/>
      <w:color w:val="FFFFFF" w:themeColor="background1"/>
      <w:szCs w:val="24"/>
    </w:rPr>
  </w:style>
  <w:style w:type="paragraph" w:customStyle="1" w:styleId="Bodycopy2">
    <w:name w:val="Body copy 2"/>
    <w:link w:val="Bodycopy2Char"/>
    <w:uiPriority w:val="2"/>
    <w:qFormat/>
    <w:rsid w:val="00471628"/>
    <w:rPr>
      <w:color w:val="555555" w:themeColor="text1"/>
      <w:sz w:val="20"/>
      <w:szCs w:val="20"/>
    </w:rPr>
  </w:style>
  <w:style w:type="character" w:customStyle="1" w:styleId="Bodycopy2Char">
    <w:name w:val="Body copy 2 Char"/>
    <w:basedOn w:val="DefaultParagraphFont"/>
    <w:link w:val="Bodycopy2"/>
    <w:uiPriority w:val="2"/>
    <w:rsid w:val="00471628"/>
    <w:rPr>
      <w:color w:val="555555" w:themeColor="text1"/>
      <w:sz w:val="20"/>
      <w:szCs w:val="20"/>
    </w:rPr>
  </w:style>
  <w:style w:type="paragraph" w:customStyle="1" w:styleId="Bodycopy2White">
    <w:name w:val="Body copy 2 (White)"/>
    <w:basedOn w:val="Bodycopy2"/>
    <w:link w:val="Bodycopy2WhiteChar"/>
    <w:uiPriority w:val="2"/>
    <w:qFormat/>
    <w:rsid w:val="007B4FAF"/>
    <w:rPr>
      <w:color w:val="FFFFFF" w:themeColor="background1"/>
    </w:rPr>
  </w:style>
  <w:style w:type="character" w:customStyle="1" w:styleId="Bodycopy2WhiteChar">
    <w:name w:val="Body copy 2 (White) Char"/>
    <w:basedOn w:val="Bodycopy2Char"/>
    <w:link w:val="Bodycopy2White"/>
    <w:uiPriority w:val="2"/>
    <w:rsid w:val="007B4FAF"/>
    <w:rPr>
      <w:rFonts w:ascii="Roboto" w:hAnsi="Roboto"/>
      <w:color w:val="FFFFFF" w:themeColor="background1"/>
      <w:sz w:val="20"/>
      <w:szCs w:val="20"/>
    </w:rPr>
  </w:style>
  <w:style w:type="character" w:customStyle="1" w:styleId="BOLD">
    <w:name w:val="BOLD"/>
    <w:uiPriority w:val="6"/>
    <w:qFormat/>
    <w:rsid w:val="007B4FAF"/>
    <w:rPr>
      <w:b/>
    </w:rPr>
  </w:style>
  <w:style w:type="character" w:customStyle="1" w:styleId="BOLDITALIC">
    <w:name w:val="BOLD ITALIC"/>
    <w:uiPriority w:val="6"/>
    <w:qFormat/>
    <w:rsid w:val="007B4FAF"/>
    <w:rPr>
      <w:b/>
      <w:i/>
    </w:rPr>
  </w:style>
  <w:style w:type="paragraph" w:customStyle="1" w:styleId="BylineSourceFootnotes">
    <w:name w:val="Byline/Source/Footnotes"/>
    <w:uiPriority w:val="5"/>
    <w:qFormat/>
    <w:rsid w:val="000F04CB"/>
    <w:pPr>
      <w:spacing w:before="200"/>
    </w:pPr>
    <w:rPr>
      <w:color w:val="555555" w:themeColor="text2"/>
      <w:sz w:val="16"/>
    </w:rPr>
  </w:style>
  <w:style w:type="paragraph" w:customStyle="1" w:styleId="BylineSourceFootnotesWhite">
    <w:name w:val="Byline/Source/Footnotes (White)"/>
    <w:link w:val="BylineSourceFootnotesWhiteChar"/>
    <w:uiPriority w:val="5"/>
    <w:qFormat/>
    <w:rsid w:val="007B4FAF"/>
    <w:rPr>
      <w:color w:val="FFFFFF" w:themeColor="background1"/>
      <w:sz w:val="16"/>
      <w:szCs w:val="16"/>
    </w:rPr>
  </w:style>
  <w:style w:type="character" w:customStyle="1" w:styleId="BylineSourceFootnotesWhiteChar">
    <w:name w:val="Byline/Source/Footnotes (White) Char"/>
    <w:basedOn w:val="DefaultParagraphFont"/>
    <w:link w:val="BylineSourceFootnotesWhite"/>
    <w:uiPriority w:val="5"/>
    <w:rsid w:val="007B4FAF"/>
    <w:rPr>
      <w:rFonts w:ascii="Roboto" w:hAnsi="Roboto"/>
      <w:color w:val="FFFFFF" w:themeColor="background1"/>
      <w:sz w:val="16"/>
      <w:szCs w:val="16"/>
    </w:rPr>
  </w:style>
  <w:style w:type="table" w:customStyle="1" w:styleId="COMMTableBLUE">
    <w:name w:val="COMM Table (BLUE)"/>
    <w:basedOn w:val="TableNormal"/>
    <w:uiPriority w:val="99"/>
    <w:rsid w:val="0041557E"/>
    <w:pPr>
      <w:widowControl w:val="0"/>
      <w:spacing w:after="0" w:line="240" w:lineRule="auto"/>
      <w:mirrorIndents/>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0A82A0" w:themeFill="accent6"/>
        <w:vAlign w:val="bottom"/>
      </w:tcPr>
    </w:tblStylePr>
    <w:tblStylePr w:type="lastRow">
      <w:rPr>
        <w:b w:val="0"/>
      </w:rPr>
      <w:tblPr/>
      <w:tcPr>
        <w:tcBorders>
          <w:top w:val="single" w:sz="18" w:space="0" w:color="0A82A0" w:themeColor="accent6"/>
          <w:left w:val="nil"/>
          <w:bottom w:val="single" w:sz="8" w:space="0" w:color="0A82A0" w:themeColor="accent6"/>
          <w:right w:val="nil"/>
          <w:insideH w:val="nil"/>
          <w:insideV w:val="nil"/>
        </w:tcBorders>
      </w:tcPr>
    </w:tblStylePr>
    <w:tblStylePr w:type="firstCol">
      <w:rPr>
        <w:rFonts w:ascii="Roboto" w:hAnsi="Roboto"/>
        <w:color w:val="0A82A0" w:themeColor="accent6"/>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0A82A0" w:themeColor="accent6"/>
        </w:tcBorders>
      </w:tcPr>
    </w:tblStylePr>
    <w:tblStylePr w:type="band2Horz">
      <w:tblPr/>
      <w:tcPr>
        <w:tcBorders>
          <w:insideV w:val="single" w:sz="12" w:space="0" w:color="0A82A0" w:themeColor="accent6"/>
        </w:tcBorders>
      </w:tcPr>
    </w:tblStylePr>
  </w:style>
  <w:style w:type="paragraph" w:customStyle="1" w:styleId="TableContentAlignCentered">
    <w:name w:val="Table Content (Align Centered)"/>
    <w:basedOn w:val="Normal"/>
    <w:uiPriority w:val="7"/>
    <w:qFormat/>
    <w:rsid w:val="0093201A"/>
    <w:pPr>
      <w:jc w:val="center"/>
    </w:pPr>
    <w:rPr>
      <w:color w:val="555555" w:themeColor="text1"/>
    </w:rPr>
  </w:style>
  <w:style w:type="table" w:customStyle="1" w:styleId="COMMTableORANGE">
    <w:name w:val="COMM Table (ORANGE)"/>
    <w:basedOn w:val="TableNormal"/>
    <w:uiPriority w:val="99"/>
    <w:rsid w:val="0041557E"/>
    <w:pPr>
      <w:spacing w:after="0" w:line="240" w:lineRule="auto"/>
    </w:pPr>
    <w:rPr>
      <w:color w:val="555555" w:themeColor="text1"/>
      <w:sz w:val="20"/>
    </w:rPr>
    <w:tblPr>
      <w:tblStyleRowBandSize w:val="1"/>
      <w:tblStyleColBandSize w:val="1"/>
      <w:tblBorders>
        <w:left w:val="single" w:sz="4" w:space="0" w:color="CFCFCF" w:themeColor="background2" w:themeShade="E6"/>
        <w:bottom w:val="single" w:sz="4" w:space="0" w:color="CFCFCF" w:themeColor="background2" w:themeShade="E6"/>
        <w:right w:val="single" w:sz="4" w:space="0" w:color="CFCFCF" w:themeColor="background2" w:themeShade="E6"/>
      </w:tblBorders>
      <w:tblCellMar>
        <w:top w:w="144" w:type="dxa"/>
        <w:left w:w="144" w:type="dxa"/>
        <w:bottom w:w="144" w:type="dxa"/>
        <w:right w:w="144" w:type="dxa"/>
      </w:tblCellMar>
    </w:tblPr>
    <w:trPr>
      <w:cantSplit/>
    </w:tr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right w:val="single" w:sz="4" w:space="0" w:color="CFCFCF" w:themeColor="background2" w:themeShade="E6"/>
          <w:insideV w:val="single" w:sz="4" w:space="0" w:color="FFFFFF" w:themeColor="background1"/>
        </w:tcBorders>
        <w:shd w:val="clear" w:color="auto" w:fill="EA5F14" w:themeFill="accent2"/>
        <w:vAlign w:val="bottom"/>
      </w:tcPr>
    </w:tblStylePr>
    <w:tblStylePr w:type="lastRow">
      <w:tblPr/>
      <w:tcPr>
        <w:tcBorders>
          <w:top w:val="single" w:sz="18" w:space="0" w:color="EA5F14" w:themeColor="accent2"/>
          <w:bottom w:val="single" w:sz="4" w:space="0" w:color="EA5F14" w:themeColor="accent2"/>
        </w:tcBorders>
        <w:vAlign w:val="center"/>
      </w:tcPr>
    </w:tblStylePr>
    <w:tblStylePr w:type="firstCol">
      <w:rPr>
        <w:rFonts w:ascii="Roboto" w:hAnsi="Roboto"/>
        <w:color w:val="EA5F14" w:themeColor="accent2"/>
        <w:sz w:val="20"/>
      </w:rPr>
      <w:tblPr/>
      <w:tcPr>
        <w:tcBorders>
          <w:insideH w:val="single" w:sz="4" w:space="0" w:color="C4C8CB" w:themeColor="accent5" w:themeTint="66"/>
        </w:tcBorders>
        <w:vAlign w:val="center"/>
      </w:tcPr>
    </w:tblStylePr>
    <w:tblStylePr w:type="lastCol">
      <w:tblPr/>
      <w:tcPr>
        <w:vAlign w:val="center"/>
      </w:tcPr>
    </w:tblStylePr>
    <w:tblStylePr w:type="band1Vert">
      <w:tblPr/>
      <w:tcPr>
        <w:tcBorders>
          <w:insideH w:val="single" w:sz="4" w:space="0" w:color="C4C8CB" w:themeColor="accent5" w:themeTint="66"/>
        </w:tcBorders>
        <w:vAlign w:val="center"/>
      </w:tcPr>
    </w:tblStylePr>
    <w:tblStylePr w:type="band2Vert">
      <w:tblPr/>
      <w:tcPr>
        <w:tcBorders>
          <w:insideH w:val="single" w:sz="4" w:space="0" w:color="C4C8CB" w:themeColor="accent5" w:themeTint="66"/>
        </w:tcBorders>
        <w:vAlign w:val="center"/>
      </w:tcPr>
    </w:tblStylePr>
    <w:tblStylePr w:type="band1Horz">
      <w:tblPr/>
      <w:tcPr>
        <w:tcBorders>
          <w:insideV w:val="single" w:sz="12" w:space="0" w:color="EA5F14" w:themeColor="accent2"/>
        </w:tcBorders>
        <w:vAlign w:val="center"/>
      </w:tcPr>
    </w:tblStylePr>
    <w:tblStylePr w:type="band2Horz">
      <w:tblPr/>
      <w:tcPr>
        <w:tcBorders>
          <w:insideV w:val="single" w:sz="12" w:space="0" w:color="EA5F14" w:themeColor="accent2"/>
        </w:tcBorders>
        <w:vAlign w:val="center"/>
      </w:tcPr>
    </w:tblStylePr>
  </w:style>
  <w:style w:type="paragraph" w:customStyle="1" w:styleId="DocumentName">
    <w:name w:val="Document Name"/>
    <w:next w:val="Bodycopy1"/>
    <w:link w:val="DocumentNameChar"/>
    <w:uiPriority w:val="3"/>
    <w:qFormat/>
    <w:rsid w:val="007B4FAF"/>
    <w:rPr>
      <w:caps/>
      <w:color w:val="555555" w:themeColor="text1"/>
      <w:sz w:val="20"/>
      <w:szCs w:val="24"/>
    </w:rPr>
  </w:style>
  <w:style w:type="character" w:customStyle="1" w:styleId="DocumentNameChar">
    <w:name w:val="Document Name Char"/>
    <w:basedOn w:val="DefaultParagraphFont"/>
    <w:link w:val="DocumentName"/>
    <w:uiPriority w:val="3"/>
    <w:rsid w:val="007B4FAF"/>
    <w:rPr>
      <w:rFonts w:ascii="Roboto" w:hAnsi="Roboto"/>
      <w:caps/>
      <w:color w:val="555555" w:themeColor="text1"/>
      <w:sz w:val="20"/>
      <w:szCs w:val="24"/>
    </w:rPr>
  </w:style>
  <w:style w:type="paragraph" w:styleId="Footer">
    <w:name w:val="footer"/>
    <w:basedOn w:val="Normal"/>
    <w:link w:val="FooterChar"/>
    <w:uiPriority w:val="99"/>
    <w:semiHidden/>
    <w:rsid w:val="007B4FAF"/>
    <w:pPr>
      <w:tabs>
        <w:tab w:val="center" w:pos="4680"/>
        <w:tab w:val="right" w:pos="9360"/>
      </w:tabs>
      <w:spacing w:after="0" w:line="240" w:lineRule="auto"/>
    </w:pPr>
    <w:rPr>
      <w:color w:val="EA5F14" w:themeColor="accent2"/>
      <w:sz w:val="24"/>
      <w:szCs w:val="24"/>
    </w:rPr>
  </w:style>
  <w:style w:type="character" w:customStyle="1" w:styleId="FooterChar">
    <w:name w:val="Footer Char"/>
    <w:basedOn w:val="DefaultParagraphFont"/>
    <w:link w:val="Footer"/>
    <w:uiPriority w:val="99"/>
    <w:semiHidden/>
    <w:rsid w:val="007B4FAF"/>
    <w:rPr>
      <w:rFonts w:ascii="Roboto" w:hAnsi="Roboto"/>
      <w:color w:val="EA5F14" w:themeColor="accent2"/>
      <w:sz w:val="24"/>
      <w:szCs w:val="24"/>
    </w:rPr>
  </w:style>
  <w:style w:type="table" w:styleId="GridTable4-Accent3">
    <w:name w:val="Grid Table 4 Accent 3"/>
    <w:basedOn w:val="TableNormal"/>
    <w:uiPriority w:val="49"/>
    <w:locked/>
    <w:rsid w:val="007B4FAF"/>
    <w:pPr>
      <w:spacing w:after="0" w:line="240" w:lineRule="auto"/>
    </w:pPr>
    <w:tblPr>
      <w:tblStyleRowBandSize w:val="1"/>
      <w:tblStyleColBandSize w:val="1"/>
      <w:tblBorders>
        <w:top w:val="single" w:sz="4" w:space="0" w:color="EDFF48" w:themeColor="accent3" w:themeTint="99"/>
        <w:left w:val="single" w:sz="4" w:space="0" w:color="EDFF48" w:themeColor="accent3" w:themeTint="99"/>
        <w:bottom w:val="single" w:sz="4" w:space="0" w:color="EDFF48" w:themeColor="accent3" w:themeTint="99"/>
        <w:right w:val="single" w:sz="4" w:space="0" w:color="EDFF48" w:themeColor="accent3" w:themeTint="99"/>
        <w:insideH w:val="single" w:sz="4" w:space="0" w:color="EDFF48" w:themeColor="accent3" w:themeTint="99"/>
        <w:insideV w:val="single" w:sz="4" w:space="0" w:color="EDFF48" w:themeColor="accent3" w:themeTint="99"/>
      </w:tblBorders>
    </w:tblPr>
    <w:tblStylePr w:type="firstRow">
      <w:rPr>
        <w:b/>
        <w:bCs/>
        <w:color w:val="FFFFFF" w:themeColor="background1"/>
      </w:rPr>
      <w:tblPr/>
      <w:tcPr>
        <w:tcBorders>
          <w:top w:val="single" w:sz="4" w:space="0" w:color="BBCE00" w:themeColor="accent3"/>
          <w:left w:val="single" w:sz="4" w:space="0" w:color="BBCE00" w:themeColor="accent3"/>
          <w:bottom w:val="single" w:sz="4" w:space="0" w:color="BBCE00" w:themeColor="accent3"/>
          <w:right w:val="single" w:sz="4" w:space="0" w:color="BBCE00" w:themeColor="accent3"/>
          <w:insideH w:val="nil"/>
          <w:insideV w:val="nil"/>
        </w:tcBorders>
        <w:shd w:val="clear" w:color="auto" w:fill="BBCE00" w:themeFill="accent3"/>
      </w:tcPr>
    </w:tblStylePr>
    <w:tblStylePr w:type="lastRow">
      <w:rPr>
        <w:b/>
        <w:bCs/>
      </w:rPr>
      <w:tblPr/>
      <w:tcPr>
        <w:tcBorders>
          <w:top w:val="double" w:sz="4" w:space="0" w:color="BBCE00" w:themeColor="accent3"/>
        </w:tcBorders>
      </w:tcPr>
    </w:tblStylePr>
    <w:tblStylePr w:type="firstCol">
      <w:rPr>
        <w:b/>
        <w:bCs/>
      </w:rPr>
    </w:tblStylePr>
    <w:tblStylePr w:type="lastCol">
      <w:rPr>
        <w:b/>
        <w:bCs/>
      </w:rPr>
    </w:tblStylePr>
    <w:tblStylePr w:type="band1Vert">
      <w:tblPr/>
      <w:tcPr>
        <w:shd w:val="clear" w:color="auto" w:fill="F9FFC2" w:themeFill="accent3" w:themeFillTint="33"/>
      </w:tcPr>
    </w:tblStylePr>
    <w:tblStylePr w:type="band1Horz">
      <w:tblPr/>
      <w:tcPr>
        <w:shd w:val="clear" w:color="auto" w:fill="F9FFC2" w:themeFill="accent3" w:themeFillTint="33"/>
      </w:tcPr>
    </w:tblStylePr>
  </w:style>
  <w:style w:type="table" w:styleId="GridTable4-Accent5">
    <w:name w:val="Grid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insideV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insideV w:val="nil"/>
        </w:tcBorders>
        <w:shd w:val="clear" w:color="auto" w:fill="6E767D" w:themeFill="accent5"/>
      </w:tcPr>
    </w:tblStylePr>
    <w:tblStylePr w:type="lastRow">
      <w:rPr>
        <w:b/>
        <w:bCs/>
      </w:rPr>
      <w:tblPr/>
      <w:tcPr>
        <w:tcBorders>
          <w:top w:val="double" w:sz="4" w:space="0" w:color="6E767D" w:themeColor="accent5"/>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table" w:styleId="GridTable4-Accent6">
    <w:name w:val="Grid Table 4 Accent 6"/>
    <w:basedOn w:val="TableNormal"/>
    <w:uiPriority w:val="49"/>
    <w:locked/>
    <w:rsid w:val="007B4FAF"/>
    <w:pPr>
      <w:spacing w:after="0" w:line="240" w:lineRule="auto"/>
    </w:pPr>
    <w:tblPr>
      <w:tblStyleRowBandSize w:val="1"/>
      <w:tblStyleColBandSize w:val="1"/>
      <w:tblBorders>
        <w:top w:val="single" w:sz="4" w:space="0" w:color="3FCFF3" w:themeColor="accent6" w:themeTint="99"/>
        <w:left w:val="single" w:sz="4" w:space="0" w:color="3FCFF3" w:themeColor="accent6" w:themeTint="99"/>
        <w:bottom w:val="single" w:sz="4" w:space="0" w:color="3FCFF3" w:themeColor="accent6" w:themeTint="99"/>
        <w:right w:val="single" w:sz="4" w:space="0" w:color="3FCFF3" w:themeColor="accent6" w:themeTint="99"/>
        <w:insideH w:val="single" w:sz="4" w:space="0" w:color="3FCFF3" w:themeColor="accent6" w:themeTint="99"/>
        <w:insideV w:val="single" w:sz="4" w:space="0" w:color="3FCFF3" w:themeColor="accent6" w:themeTint="99"/>
      </w:tblBorders>
    </w:tblPr>
    <w:tblStylePr w:type="firstRow">
      <w:rPr>
        <w:b/>
        <w:bCs/>
        <w:color w:val="FFFFFF" w:themeColor="background1"/>
      </w:rPr>
      <w:tblPr/>
      <w:tcPr>
        <w:tcBorders>
          <w:top w:val="single" w:sz="4" w:space="0" w:color="0A82A0" w:themeColor="accent6"/>
          <w:left w:val="single" w:sz="4" w:space="0" w:color="0A82A0" w:themeColor="accent6"/>
          <w:bottom w:val="single" w:sz="4" w:space="0" w:color="0A82A0" w:themeColor="accent6"/>
          <w:right w:val="single" w:sz="4" w:space="0" w:color="0A82A0" w:themeColor="accent6"/>
          <w:insideH w:val="nil"/>
          <w:insideV w:val="nil"/>
        </w:tcBorders>
        <w:shd w:val="clear" w:color="auto" w:fill="0A82A0" w:themeFill="accent6"/>
      </w:tcPr>
    </w:tblStylePr>
    <w:tblStylePr w:type="lastRow">
      <w:rPr>
        <w:b/>
        <w:bCs/>
      </w:rPr>
      <w:tblPr/>
      <w:tcPr>
        <w:tcBorders>
          <w:top w:val="double" w:sz="4" w:space="0" w:color="0A82A0" w:themeColor="accent6"/>
        </w:tcBorders>
      </w:tcPr>
    </w:tblStylePr>
    <w:tblStylePr w:type="firstCol">
      <w:rPr>
        <w:b/>
        <w:bCs/>
      </w:rPr>
    </w:tblStylePr>
    <w:tblStylePr w:type="lastCol">
      <w:rPr>
        <w:b/>
        <w:bCs/>
      </w:rPr>
    </w:tblStylePr>
    <w:tblStylePr w:type="band1Vert">
      <w:tblPr/>
      <w:tcPr>
        <w:shd w:val="clear" w:color="auto" w:fill="BFEFFB" w:themeFill="accent6" w:themeFillTint="33"/>
      </w:tcPr>
    </w:tblStylePr>
    <w:tblStylePr w:type="band1Horz">
      <w:tblPr/>
      <w:tcPr>
        <w:shd w:val="clear" w:color="auto" w:fill="BFEFFB" w:themeFill="accent6" w:themeFillTint="33"/>
      </w:tcPr>
    </w:tblStylePr>
  </w:style>
  <w:style w:type="table" w:styleId="GridTable5Dark-Accent3">
    <w:name w:val="Grid Table 5 Dark Accent 3"/>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FFC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BCE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BCE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BCE0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BCE00" w:themeFill="accent3"/>
      </w:tcPr>
    </w:tblStylePr>
    <w:tblStylePr w:type="band1Vert">
      <w:tblPr/>
      <w:tcPr>
        <w:shd w:val="clear" w:color="auto" w:fill="F3FF85" w:themeFill="accent3" w:themeFillTint="66"/>
      </w:tcPr>
    </w:tblStylePr>
    <w:tblStylePr w:type="band1Horz">
      <w:tblPr/>
      <w:tcPr>
        <w:shd w:val="clear" w:color="auto" w:fill="F3FF85" w:themeFill="accent3" w:themeFillTint="66"/>
      </w:tcPr>
    </w:tblStylePr>
  </w:style>
  <w:style w:type="table" w:styleId="GridTable5Dark-Accent4">
    <w:name w:val="Grid Table 5 Dark Accent 4"/>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B8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005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005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005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0059" w:themeFill="accent4"/>
      </w:tcPr>
    </w:tblStylePr>
    <w:tblStylePr w:type="band1Vert">
      <w:tblPr/>
      <w:tcPr>
        <w:shd w:val="clear" w:color="auto" w:fill="FF71C2" w:themeFill="accent4" w:themeFillTint="66"/>
      </w:tcPr>
    </w:tblStylePr>
    <w:tblStylePr w:type="band1Horz">
      <w:tblPr/>
      <w:tcPr>
        <w:shd w:val="clear" w:color="auto" w:fill="FF71C2" w:themeFill="accent4" w:themeFillTint="66"/>
      </w:tcPr>
    </w:tblStylePr>
  </w:style>
  <w:style w:type="table" w:styleId="GridTable5Dark-Accent6">
    <w:name w:val="Grid Table 5 Dark Accent 6"/>
    <w:basedOn w:val="TableNormal"/>
    <w:uiPriority w:val="50"/>
    <w:locked/>
    <w:rsid w:val="007B4FA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F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82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82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82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82A0" w:themeFill="accent6"/>
      </w:tcPr>
    </w:tblStylePr>
    <w:tblStylePr w:type="band1Vert">
      <w:tblPr/>
      <w:tcPr>
        <w:shd w:val="clear" w:color="auto" w:fill="7FDFF7" w:themeFill="accent6" w:themeFillTint="66"/>
      </w:tcPr>
    </w:tblStylePr>
    <w:tblStylePr w:type="band1Horz">
      <w:tblPr/>
      <w:tcPr>
        <w:shd w:val="clear" w:color="auto" w:fill="7FDFF7" w:themeFill="accent6" w:themeFillTint="66"/>
      </w:tcPr>
    </w:tblStylePr>
  </w:style>
  <w:style w:type="paragraph" w:styleId="Header">
    <w:name w:val="header"/>
    <w:basedOn w:val="Normal"/>
    <w:link w:val="HeaderChar"/>
    <w:uiPriority w:val="99"/>
    <w:semiHidden/>
    <w:rsid w:val="007B4FAF"/>
    <w:pPr>
      <w:tabs>
        <w:tab w:val="center" w:pos="4680"/>
        <w:tab w:val="right" w:pos="9360"/>
      </w:tabs>
      <w:spacing w:after="0" w:line="240" w:lineRule="auto"/>
    </w:pPr>
    <w:rPr>
      <w:color w:val="EA5F14" w:themeColor="accent2"/>
      <w:sz w:val="24"/>
      <w:szCs w:val="24"/>
    </w:rPr>
  </w:style>
  <w:style w:type="character" w:customStyle="1" w:styleId="HeaderChar">
    <w:name w:val="Header Char"/>
    <w:basedOn w:val="DefaultParagraphFont"/>
    <w:link w:val="Header"/>
    <w:uiPriority w:val="99"/>
    <w:semiHidden/>
    <w:rsid w:val="007B4FAF"/>
    <w:rPr>
      <w:rFonts w:ascii="Roboto" w:hAnsi="Roboto"/>
      <w:color w:val="EA5F14" w:themeColor="accent2"/>
      <w:sz w:val="24"/>
      <w:szCs w:val="24"/>
    </w:rPr>
  </w:style>
  <w:style w:type="character" w:customStyle="1" w:styleId="Heading1Char">
    <w:name w:val="Heading 1 Char"/>
    <w:basedOn w:val="DefaultParagraphFont"/>
    <w:link w:val="Heading1"/>
    <w:uiPriority w:val="1"/>
    <w:rsid w:val="000B7675"/>
    <w:rPr>
      <w:rFonts w:ascii="Roboto Light" w:hAnsi="Roboto Light"/>
      <w:color w:val="EA5F14" w:themeColor="accent2"/>
      <w:sz w:val="44"/>
      <w:szCs w:val="44"/>
    </w:rPr>
  </w:style>
  <w:style w:type="character" w:customStyle="1" w:styleId="Heading2Char">
    <w:name w:val="Heading 2 Char"/>
    <w:basedOn w:val="DefaultParagraphFont"/>
    <w:link w:val="Heading2"/>
    <w:uiPriority w:val="1"/>
    <w:rsid w:val="000B7675"/>
    <w:rPr>
      <w:rFonts w:ascii="Roboto Light" w:hAnsi="Roboto Light"/>
      <w:color w:val="555555" w:themeColor="text1"/>
      <w:sz w:val="36"/>
      <w:szCs w:val="44"/>
    </w:rPr>
  </w:style>
  <w:style w:type="character" w:customStyle="1" w:styleId="Heading3Char">
    <w:name w:val="Heading 3 Char"/>
    <w:basedOn w:val="DefaultParagraphFont"/>
    <w:link w:val="Heading3"/>
    <w:uiPriority w:val="1"/>
    <w:rsid w:val="000B7675"/>
    <w:rPr>
      <w:color w:val="00ADD6"/>
      <w:sz w:val="32"/>
      <w:szCs w:val="32"/>
    </w:rPr>
  </w:style>
  <w:style w:type="paragraph" w:customStyle="1" w:styleId="Heading3White">
    <w:name w:val="Heading 3 (White)"/>
    <w:next w:val="Bodycopy1White"/>
    <w:link w:val="Heading3WhiteChar"/>
    <w:uiPriority w:val="1"/>
    <w:qFormat/>
    <w:rsid w:val="007B4FAF"/>
    <w:rPr>
      <w:color w:val="FFFFFF" w:themeColor="background1"/>
      <w:sz w:val="32"/>
      <w:szCs w:val="32"/>
    </w:rPr>
  </w:style>
  <w:style w:type="character" w:customStyle="1" w:styleId="Heading3WhiteChar">
    <w:name w:val="Heading 3 (White) Char"/>
    <w:basedOn w:val="DefaultParagraphFont"/>
    <w:link w:val="Heading3White"/>
    <w:uiPriority w:val="1"/>
    <w:rsid w:val="007B4FAF"/>
    <w:rPr>
      <w:rFonts w:ascii="Roboto" w:hAnsi="Roboto"/>
      <w:color w:val="FFFFFF" w:themeColor="background1"/>
      <w:sz w:val="32"/>
      <w:szCs w:val="32"/>
    </w:rPr>
  </w:style>
  <w:style w:type="character" w:styleId="Hyperlink">
    <w:name w:val="Hyperlink"/>
    <w:basedOn w:val="DefaultParagraphFont"/>
    <w:uiPriority w:val="99"/>
    <w:qFormat/>
    <w:rsid w:val="007B4FAF"/>
    <w:rPr>
      <w:color w:val="0A82A0" w:themeColor="hyperlink"/>
      <w:u w:val="single"/>
    </w:rPr>
  </w:style>
  <w:style w:type="character" w:customStyle="1" w:styleId="HyperlinkWhite">
    <w:name w:val="Hyperlink (White)"/>
    <w:basedOn w:val="Hyperlink"/>
    <w:uiPriority w:val="11"/>
    <w:qFormat/>
    <w:rsid w:val="00775DFB"/>
    <w:rPr>
      <w:color w:val="FFFFFF" w:themeColor="background1"/>
      <w:u w:val="single"/>
    </w:rPr>
  </w:style>
  <w:style w:type="character" w:customStyle="1" w:styleId="ITALIC">
    <w:name w:val="ITALIC"/>
    <w:uiPriority w:val="6"/>
    <w:qFormat/>
    <w:rsid w:val="007B4FAF"/>
    <w:rPr>
      <w:i/>
    </w:rPr>
  </w:style>
  <w:style w:type="paragraph" w:customStyle="1" w:styleId="JobTitleDescription">
    <w:name w:val="Job Title/Description"/>
    <w:next w:val="Bodycopy1"/>
    <w:link w:val="JobTitleDescriptionChar"/>
    <w:uiPriority w:val="4"/>
    <w:qFormat/>
    <w:rsid w:val="00526F5E"/>
    <w:rPr>
      <w:caps/>
      <w:color w:val="555555" w:themeColor="text1"/>
      <w:sz w:val="20"/>
      <w:szCs w:val="24"/>
    </w:rPr>
  </w:style>
  <w:style w:type="character" w:customStyle="1" w:styleId="JobTitleDescriptionChar">
    <w:name w:val="Job Title/Description Char"/>
    <w:basedOn w:val="DefaultParagraphFont"/>
    <w:link w:val="JobTitleDescription"/>
    <w:uiPriority w:val="4"/>
    <w:rsid w:val="00526F5E"/>
    <w:rPr>
      <w:caps/>
      <w:color w:val="555555" w:themeColor="text1"/>
      <w:sz w:val="20"/>
      <w:szCs w:val="24"/>
    </w:rPr>
  </w:style>
  <w:style w:type="paragraph" w:customStyle="1" w:styleId="JobTitleDescriptionWhite">
    <w:name w:val="Job Title/Description (White)"/>
    <w:basedOn w:val="JobTitleDescription"/>
    <w:next w:val="Bodycopy1White"/>
    <w:link w:val="JobTitleDescriptionWhiteChar"/>
    <w:uiPriority w:val="4"/>
    <w:qFormat/>
    <w:rsid w:val="007B4FAF"/>
    <w:rPr>
      <w:color w:val="FFFFFF" w:themeColor="background1"/>
    </w:rPr>
  </w:style>
  <w:style w:type="character" w:customStyle="1" w:styleId="JobTitleDescriptionWhiteChar">
    <w:name w:val="Job Title/Description (White) Char"/>
    <w:basedOn w:val="JobTitleDescriptionChar"/>
    <w:link w:val="JobTitleDescriptionWhite"/>
    <w:uiPriority w:val="4"/>
    <w:rsid w:val="007B4FAF"/>
    <w:rPr>
      <w:rFonts w:ascii="Roboto" w:hAnsi="Roboto"/>
      <w:caps/>
      <w:color w:val="FFFFFF" w:themeColor="background1"/>
      <w:sz w:val="20"/>
      <w:szCs w:val="24"/>
    </w:rPr>
  </w:style>
  <w:style w:type="paragraph" w:styleId="ListParagraph">
    <w:name w:val="List Paragraph"/>
    <w:basedOn w:val="Bodycopy1"/>
    <w:link w:val="ListParagraphChar"/>
    <w:uiPriority w:val="34"/>
    <w:qFormat/>
    <w:rsid w:val="007B4FAF"/>
    <w:pPr>
      <w:ind w:left="720"/>
      <w:contextualSpacing/>
    </w:pPr>
    <w:rPr>
      <w:sz w:val="24"/>
    </w:rPr>
  </w:style>
  <w:style w:type="character" w:customStyle="1" w:styleId="ListParagraphChar">
    <w:name w:val="List Paragraph Char"/>
    <w:basedOn w:val="Bodycopy1Char"/>
    <w:link w:val="ListParagraph"/>
    <w:uiPriority w:val="34"/>
    <w:semiHidden/>
    <w:rsid w:val="000A4439"/>
    <w:rPr>
      <w:color w:val="555555" w:themeColor="text1"/>
      <w:sz w:val="24"/>
    </w:rPr>
  </w:style>
  <w:style w:type="table" w:styleId="ListTable4-Accent5">
    <w:name w:val="List Table 4 Accent 5"/>
    <w:basedOn w:val="TableNormal"/>
    <w:uiPriority w:val="49"/>
    <w:locked/>
    <w:rsid w:val="007B4FAF"/>
    <w:pPr>
      <w:spacing w:after="0" w:line="240" w:lineRule="auto"/>
    </w:pPr>
    <w:tblPr>
      <w:tblStyleRowBandSize w:val="1"/>
      <w:tblStyleColBandSize w:val="1"/>
      <w:tblBorders>
        <w:top w:val="single" w:sz="4" w:space="0" w:color="A7ACB1" w:themeColor="accent5" w:themeTint="99"/>
        <w:left w:val="single" w:sz="4" w:space="0" w:color="A7ACB1" w:themeColor="accent5" w:themeTint="99"/>
        <w:bottom w:val="single" w:sz="4" w:space="0" w:color="A7ACB1" w:themeColor="accent5" w:themeTint="99"/>
        <w:right w:val="single" w:sz="4" w:space="0" w:color="A7ACB1" w:themeColor="accent5" w:themeTint="99"/>
        <w:insideH w:val="single" w:sz="4" w:space="0" w:color="A7ACB1" w:themeColor="accent5" w:themeTint="99"/>
      </w:tblBorders>
    </w:tblPr>
    <w:tblStylePr w:type="firstRow">
      <w:rPr>
        <w:b/>
        <w:bCs/>
        <w:color w:val="FFFFFF" w:themeColor="background1"/>
      </w:rPr>
      <w:tblPr/>
      <w:tcPr>
        <w:tcBorders>
          <w:top w:val="single" w:sz="4" w:space="0" w:color="6E767D" w:themeColor="accent5"/>
          <w:left w:val="single" w:sz="4" w:space="0" w:color="6E767D" w:themeColor="accent5"/>
          <w:bottom w:val="single" w:sz="4" w:space="0" w:color="6E767D" w:themeColor="accent5"/>
          <w:right w:val="single" w:sz="4" w:space="0" w:color="6E767D" w:themeColor="accent5"/>
          <w:insideH w:val="nil"/>
        </w:tcBorders>
        <w:shd w:val="clear" w:color="auto" w:fill="6E767D" w:themeFill="accent5"/>
      </w:tcPr>
    </w:tblStylePr>
    <w:tblStylePr w:type="lastRow">
      <w:rPr>
        <w:b/>
        <w:bCs/>
      </w:rPr>
      <w:tblPr/>
      <w:tcPr>
        <w:tcBorders>
          <w:top w:val="double" w:sz="4" w:space="0" w:color="A7ACB1" w:themeColor="accent5" w:themeTint="99"/>
        </w:tcBorders>
      </w:tcPr>
    </w:tblStylePr>
    <w:tblStylePr w:type="firstCol">
      <w:rPr>
        <w:b/>
        <w:bCs/>
      </w:rPr>
    </w:tblStylePr>
    <w:tblStylePr w:type="lastCol">
      <w:rPr>
        <w:b/>
        <w:bCs/>
      </w:rPr>
    </w:tblStylePr>
    <w:tblStylePr w:type="band1Vert">
      <w:tblPr/>
      <w:tcPr>
        <w:shd w:val="clear" w:color="auto" w:fill="E1E3E5" w:themeFill="accent5" w:themeFillTint="33"/>
      </w:tcPr>
    </w:tblStylePr>
    <w:tblStylePr w:type="band1Horz">
      <w:tblPr/>
      <w:tcPr>
        <w:shd w:val="clear" w:color="auto" w:fill="E1E3E5" w:themeFill="accent5" w:themeFillTint="33"/>
      </w:tcPr>
    </w:tblStylePr>
  </w:style>
  <w:style w:type="paragraph" w:styleId="NoSpacing">
    <w:name w:val="No Spacing"/>
    <w:link w:val="NoSpacingChar"/>
    <w:uiPriority w:val="99"/>
    <w:unhideWhenUsed/>
    <w:qFormat/>
    <w:locked/>
    <w:rsid w:val="007B4FAF"/>
    <w:pPr>
      <w:spacing w:after="0" w:line="240" w:lineRule="auto"/>
    </w:pPr>
  </w:style>
  <w:style w:type="character" w:customStyle="1" w:styleId="NoSpacingChar">
    <w:name w:val="No Spacing Char"/>
    <w:basedOn w:val="DefaultParagraphFont"/>
    <w:link w:val="NoSpacing"/>
    <w:uiPriority w:val="99"/>
    <w:rsid w:val="00D36D3B"/>
  </w:style>
  <w:style w:type="character" w:styleId="PlaceholderText">
    <w:name w:val="Placeholder Text"/>
    <w:basedOn w:val="DefaultParagraphFont"/>
    <w:uiPriority w:val="99"/>
    <w:semiHidden/>
    <w:rsid w:val="007B4FAF"/>
    <w:rPr>
      <w:color w:val="808080"/>
    </w:rPr>
  </w:style>
  <w:style w:type="table" w:styleId="PlainTable1">
    <w:name w:val="Plain Table 1"/>
    <w:basedOn w:val="TableNormal"/>
    <w:uiPriority w:val="41"/>
    <w:locked/>
    <w:rsid w:val="007B4FA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7B4FAF"/>
    <w:pPr>
      <w:spacing w:after="0" w:line="240" w:lineRule="auto"/>
    </w:pPr>
    <w:tblPr>
      <w:tblStyleRowBandSize w:val="1"/>
      <w:tblStyleColBandSize w:val="1"/>
    </w:tblPr>
    <w:tblStylePr w:type="firstRow">
      <w:rPr>
        <w:b/>
        <w:bCs/>
        <w:caps/>
      </w:rPr>
      <w:tblPr/>
      <w:tcPr>
        <w:tcBorders>
          <w:bottom w:val="single" w:sz="4" w:space="0" w:color="A9A9A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9A9A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semiHidden/>
    <w:qFormat/>
    <w:locked/>
    <w:rsid w:val="007B4FAF"/>
    <w:rPr>
      <w:b/>
    </w:rPr>
  </w:style>
  <w:style w:type="paragraph" w:customStyle="1" w:styleId="Subheading1">
    <w:name w:val="Subheading 1"/>
    <w:next w:val="Bodycopy1"/>
    <w:link w:val="Subheading1Char"/>
    <w:uiPriority w:val="1"/>
    <w:qFormat/>
    <w:rsid w:val="000B7675"/>
    <w:pPr>
      <w:keepNext/>
      <w:spacing w:before="160" w:after="0"/>
    </w:pPr>
    <w:rPr>
      <w:b/>
      <w:color w:val="6E767D" w:themeColor="accent5"/>
      <w:szCs w:val="24"/>
    </w:rPr>
  </w:style>
  <w:style w:type="character" w:customStyle="1" w:styleId="Subheading1Char">
    <w:name w:val="Subheading 1 Char"/>
    <w:basedOn w:val="DefaultParagraphFont"/>
    <w:link w:val="Subheading1"/>
    <w:uiPriority w:val="1"/>
    <w:rsid w:val="000B7675"/>
    <w:rPr>
      <w:b/>
      <w:color w:val="6E767D" w:themeColor="accent5"/>
      <w:szCs w:val="24"/>
    </w:rPr>
  </w:style>
  <w:style w:type="paragraph" w:customStyle="1" w:styleId="Subheading1White">
    <w:name w:val="Subheading 1 (White)"/>
    <w:basedOn w:val="Subheading1"/>
    <w:next w:val="Bodycopy1White"/>
    <w:link w:val="Subheading1WhiteChar"/>
    <w:uiPriority w:val="1"/>
    <w:qFormat/>
    <w:rsid w:val="007B4FAF"/>
    <w:rPr>
      <w:color w:val="FFFFFF" w:themeColor="background1"/>
    </w:rPr>
  </w:style>
  <w:style w:type="character" w:customStyle="1" w:styleId="Subheading1WhiteChar">
    <w:name w:val="Subheading 1 (White) Char"/>
    <w:basedOn w:val="Subheading1Char"/>
    <w:link w:val="Subheading1White"/>
    <w:uiPriority w:val="1"/>
    <w:rsid w:val="007B4FAF"/>
    <w:rPr>
      <w:rFonts w:ascii="Roboto" w:hAnsi="Roboto"/>
      <w:b/>
      <w:color w:val="FFFFFF" w:themeColor="background1"/>
      <w:szCs w:val="24"/>
    </w:rPr>
  </w:style>
  <w:style w:type="paragraph" w:styleId="Subtitle">
    <w:name w:val="Subtitle"/>
    <w:basedOn w:val="Normal"/>
    <w:next w:val="Normal"/>
    <w:link w:val="SubtitleChar"/>
    <w:uiPriority w:val="34"/>
    <w:semiHidden/>
    <w:qFormat/>
    <w:locked/>
    <w:rsid w:val="007B4FAF"/>
    <w:pPr>
      <w:numPr>
        <w:ilvl w:val="1"/>
      </w:numPr>
    </w:pPr>
    <w:rPr>
      <w:rFonts w:asciiTheme="minorHAnsi" w:eastAsiaTheme="minorEastAsia" w:hAnsiTheme="minorHAnsi" w:cs="Times New Roman"/>
      <w:color w:val="919191" w:themeColor="text1" w:themeTint="A5"/>
      <w:spacing w:val="15"/>
    </w:rPr>
  </w:style>
  <w:style w:type="character" w:customStyle="1" w:styleId="SubtitleChar">
    <w:name w:val="Subtitle Char"/>
    <w:basedOn w:val="DefaultParagraphFont"/>
    <w:link w:val="Subtitle"/>
    <w:uiPriority w:val="34"/>
    <w:semiHidden/>
    <w:rsid w:val="000A4439"/>
    <w:rPr>
      <w:rFonts w:asciiTheme="minorHAnsi" w:eastAsiaTheme="minorEastAsia" w:hAnsiTheme="minorHAnsi" w:cs="Times New Roman"/>
      <w:color w:val="919191" w:themeColor="text1" w:themeTint="A5"/>
      <w:spacing w:val="15"/>
    </w:rPr>
  </w:style>
  <w:style w:type="table" w:styleId="TableGrid">
    <w:name w:val="Table Grid"/>
    <w:aliases w:val="COMM Table (Gray)"/>
    <w:basedOn w:val="COMMTableBLUE"/>
    <w:uiPriority w:val="39"/>
    <w:rsid w:val="0041557E"/>
    <w:tblPr>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auto"/>
        <w:insideV w:val="single" w:sz="4" w:space="0" w:color="auto"/>
      </w:tblBorders>
    </w:tblPr>
    <w:tblStylePr w:type="firstRow">
      <w:rPr>
        <w:rFonts w:ascii="Roboto" w:hAnsi="Roboto"/>
        <w:color w:val="FFFFFF" w:themeColor="background1"/>
        <w:sz w:val="24"/>
      </w:rPr>
      <w:tblPr/>
      <w:trPr>
        <w:tblHeader/>
      </w:trPr>
      <w:tcPr>
        <w:tcBorders>
          <w:top w:val="single" w:sz="4" w:space="0" w:color="CFCFCF" w:themeColor="background2" w:themeShade="E6"/>
          <w:left w:val="single" w:sz="4" w:space="0" w:color="CFCFCF" w:themeColor="background2" w:themeShade="E6"/>
          <w:bottom w:val="nil"/>
          <w:right w:val="single" w:sz="4" w:space="0" w:color="CFCFCF" w:themeColor="background2" w:themeShade="E6"/>
          <w:insideH w:val="nil"/>
          <w:insideV w:val="single" w:sz="4" w:space="0" w:color="FFFFFF" w:themeColor="background1"/>
          <w:tl2br w:val="nil"/>
          <w:tr2bl w:val="nil"/>
        </w:tcBorders>
        <w:shd w:val="clear" w:color="auto" w:fill="6E767D" w:themeFill="accent5"/>
        <w:vAlign w:val="bottom"/>
      </w:tcPr>
    </w:tblStylePr>
    <w:tblStylePr w:type="lastRow">
      <w:rPr>
        <w:b w:val="0"/>
      </w:rPr>
      <w:tblPr/>
      <w:tcPr>
        <w:tcBorders>
          <w:top w:val="single" w:sz="18" w:space="0" w:color="6E767D" w:themeColor="accent5"/>
          <w:left w:val="nil"/>
          <w:bottom w:val="single" w:sz="4" w:space="0" w:color="6E767D" w:themeColor="accent5"/>
          <w:right w:val="nil"/>
          <w:insideH w:val="nil"/>
          <w:insideV w:val="nil"/>
        </w:tcBorders>
        <w:vAlign w:val="center"/>
      </w:tcPr>
    </w:tblStylePr>
    <w:tblStylePr w:type="firstCol">
      <w:rPr>
        <w:rFonts w:ascii="Roboto" w:hAnsi="Roboto"/>
        <w:color w:val="3F3F3F" w:themeColor="text1" w:themeShade="BF"/>
        <w:sz w:val="20"/>
      </w:rPr>
      <w:tblPr/>
      <w:tcPr>
        <w:tcBorders>
          <w:insideH w:val="single" w:sz="4" w:space="0" w:color="C4C8CB" w:themeColor="accent5" w:themeTint="66"/>
        </w:tcBorders>
        <w:vAlign w:val="center"/>
      </w:tcPr>
    </w:tblStylePr>
    <w:tblStylePr w:type="lastCol">
      <w:tblPr/>
      <w:tcPr>
        <w:tcBorders>
          <w:top w:val="nil"/>
          <w:left w:val="nil"/>
          <w:bottom w:val="nil"/>
          <w:right w:val="nil"/>
          <w:insideH w:val="nil"/>
          <w:insideV w:val="nil"/>
          <w:tl2br w:val="nil"/>
          <w:tr2bl w:val="nil"/>
        </w:tcBorders>
        <w:vAlign w:val="center"/>
      </w:tcPr>
    </w:tblStylePr>
    <w:tblStylePr w:type="band1Vert">
      <w:tblPr/>
      <w:tcPr>
        <w:tcBorders>
          <w:insideH w:val="single" w:sz="4" w:space="0" w:color="C4C8CB" w:themeColor="accent5" w:themeTint="66"/>
        </w:tcBorders>
        <w:vAlign w:val="center"/>
      </w:tcPr>
    </w:tblStylePr>
    <w:tblStylePr w:type="band2Vert">
      <w:tblPr>
        <w:tblCellMar>
          <w:top w:w="144" w:type="dxa"/>
          <w:left w:w="144" w:type="dxa"/>
          <w:bottom w:w="144" w:type="dxa"/>
          <w:right w:w="144" w:type="dxa"/>
        </w:tblCellMar>
      </w:tblPr>
      <w:tcPr>
        <w:tcBorders>
          <w:insideH w:val="single" w:sz="4" w:space="0" w:color="C4C8CB" w:themeColor="accent5" w:themeTint="66"/>
        </w:tcBorders>
        <w:vAlign w:val="center"/>
      </w:tcPr>
    </w:tblStylePr>
    <w:tblStylePr w:type="band1Horz">
      <w:tblPr/>
      <w:tcPr>
        <w:tcBorders>
          <w:insideV w:val="single" w:sz="12" w:space="0" w:color="6E767D" w:themeColor="accent5"/>
        </w:tcBorders>
        <w:vAlign w:val="center"/>
      </w:tcPr>
    </w:tblStylePr>
    <w:tblStylePr w:type="band2Horz">
      <w:tblPr/>
      <w:tcPr>
        <w:tcBorders>
          <w:insideV w:val="single" w:sz="12" w:space="0" w:color="6E767D" w:themeColor="accent5"/>
        </w:tcBorders>
        <w:vAlign w:val="center"/>
      </w:tcPr>
    </w:tblStylePr>
  </w:style>
  <w:style w:type="paragraph" w:styleId="Title">
    <w:name w:val="Title"/>
    <w:next w:val="Heading1"/>
    <w:link w:val="TitleChar"/>
    <w:qFormat/>
    <w:rsid w:val="000F04CB"/>
    <w:pPr>
      <w:spacing w:line="216" w:lineRule="auto"/>
    </w:pPr>
    <w:rPr>
      <w:rFonts w:ascii="Abril Fatface" w:hAnsi="Abril Fatface"/>
      <w:color w:val="6E767D" w:themeColor="accent5"/>
      <w:sz w:val="80"/>
      <w:szCs w:val="80"/>
    </w:rPr>
  </w:style>
  <w:style w:type="character" w:customStyle="1" w:styleId="TitleChar">
    <w:name w:val="Title Char"/>
    <w:basedOn w:val="DefaultParagraphFont"/>
    <w:link w:val="Title"/>
    <w:rsid w:val="000F04CB"/>
    <w:rPr>
      <w:rFonts w:ascii="Abril Fatface" w:hAnsi="Abril Fatface"/>
      <w:color w:val="6E767D" w:themeColor="accent5"/>
      <w:sz w:val="80"/>
      <w:szCs w:val="80"/>
    </w:rPr>
  </w:style>
  <w:style w:type="paragraph" w:styleId="TOC1">
    <w:name w:val="toc 1"/>
    <w:basedOn w:val="Title"/>
    <w:next w:val="Normal"/>
    <w:uiPriority w:val="39"/>
    <w:rsid w:val="004B5584"/>
    <w:pPr>
      <w:keepNext/>
      <w:spacing w:before="240" w:after="60"/>
    </w:pPr>
    <w:rPr>
      <w:rFonts w:ascii="Roboto" w:hAnsi="Roboto" w:cstheme="minorHAnsi"/>
      <w:b/>
      <w:bCs/>
      <w:sz w:val="22"/>
    </w:rPr>
  </w:style>
  <w:style w:type="paragraph" w:styleId="TOC2">
    <w:name w:val="toc 2"/>
    <w:basedOn w:val="Heading1"/>
    <w:next w:val="Normal"/>
    <w:uiPriority w:val="9"/>
    <w:rsid w:val="004B5584"/>
    <w:pPr>
      <w:spacing w:before="60"/>
      <w:ind w:left="216"/>
    </w:pPr>
    <w:rPr>
      <w:rFonts w:ascii="Roboto" w:hAnsi="Roboto" w:cstheme="minorHAnsi"/>
      <w:bCs/>
      <w:color w:val="6E767D" w:themeColor="accent5"/>
      <w:sz w:val="22"/>
    </w:rPr>
  </w:style>
  <w:style w:type="paragraph" w:styleId="TOC3">
    <w:name w:val="toc 3"/>
    <w:basedOn w:val="Subheading1"/>
    <w:next w:val="Normal"/>
    <w:uiPriority w:val="9"/>
    <w:rsid w:val="004B5584"/>
    <w:pPr>
      <w:spacing w:before="60"/>
      <w:ind w:left="360"/>
    </w:pPr>
    <w:rPr>
      <w:rFonts w:ascii="Roboto Light" w:hAnsi="Roboto Light" w:cstheme="minorHAnsi"/>
      <w:b w:val="0"/>
    </w:rPr>
  </w:style>
  <w:style w:type="paragraph" w:styleId="TOC4">
    <w:name w:val="toc 4"/>
    <w:basedOn w:val="Bodycopy1"/>
    <w:next w:val="Normal"/>
    <w:uiPriority w:val="9"/>
    <w:unhideWhenUsed/>
    <w:locked/>
    <w:rsid w:val="007B4FAF"/>
    <w:pPr>
      <w:spacing w:after="0"/>
    </w:pPr>
    <w:rPr>
      <w:rFonts w:cstheme="minorHAnsi"/>
      <w:sz w:val="16"/>
    </w:rPr>
  </w:style>
  <w:style w:type="paragraph" w:styleId="TOC5">
    <w:name w:val="toc 5"/>
    <w:basedOn w:val="Bodycopy2"/>
    <w:next w:val="Normal"/>
    <w:autoRedefine/>
    <w:uiPriority w:val="39"/>
    <w:semiHidden/>
    <w:locked/>
    <w:rsid w:val="007B4FAF"/>
    <w:pPr>
      <w:spacing w:after="0"/>
    </w:pPr>
    <w:rPr>
      <w:rFonts w:cstheme="minorHAnsi"/>
    </w:rPr>
  </w:style>
  <w:style w:type="paragraph" w:styleId="TOC6">
    <w:name w:val="toc 6"/>
    <w:basedOn w:val="Bodycopy2"/>
    <w:next w:val="Normal"/>
    <w:autoRedefine/>
    <w:uiPriority w:val="39"/>
    <w:semiHidden/>
    <w:locked/>
    <w:rsid w:val="007B4FAF"/>
    <w:pPr>
      <w:spacing w:after="0"/>
    </w:pPr>
    <w:rPr>
      <w:rFonts w:cstheme="minorHAnsi"/>
    </w:rPr>
  </w:style>
  <w:style w:type="paragraph" w:styleId="TOC7">
    <w:name w:val="toc 7"/>
    <w:basedOn w:val="Bodycopy2"/>
    <w:next w:val="Normal"/>
    <w:autoRedefine/>
    <w:uiPriority w:val="39"/>
    <w:semiHidden/>
    <w:locked/>
    <w:rsid w:val="007B4FAF"/>
    <w:pPr>
      <w:spacing w:after="0"/>
    </w:pPr>
    <w:rPr>
      <w:rFonts w:cstheme="minorHAnsi"/>
    </w:rPr>
  </w:style>
  <w:style w:type="paragraph" w:styleId="TOC8">
    <w:name w:val="toc 8"/>
    <w:basedOn w:val="Bodycopy2"/>
    <w:next w:val="Normal"/>
    <w:autoRedefine/>
    <w:uiPriority w:val="39"/>
    <w:semiHidden/>
    <w:locked/>
    <w:rsid w:val="007B4FAF"/>
    <w:pPr>
      <w:spacing w:after="0"/>
    </w:pPr>
    <w:rPr>
      <w:rFonts w:cstheme="minorHAnsi"/>
    </w:rPr>
  </w:style>
  <w:style w:type="paragraph" w:styleId="TOC9">
    <w:name w:val="toc 9"/>
    <w:basedOn w:val="Bodycopy2"/>
    <w:next w:val="Normal"/>
    <w:autoRedefine/>
    <w:uiPriority w:val="39"/>
    <w:semiHidden/>
    <w:locked/>
    <w:rsid w:val="007B4FAF"/>
    <w:pPr>
      <w:spacing w:after="0"/>
    </w:pPr>
    <w:rPr>
      <w:rFonts w:cstheme="minorHAnsi"/>
    </w:rPr>
  </w:style>
  <w:style w:type="paragraph" w:styleId="TOCHeading">
    <w:name w:val="TOC Heading"/>
    <w:next w:val="TOC1"/>
    <w:uiPriority w:val="9"/>
    <w:qFormat/>
    <w:rsid w:val="00101F48"/>
    <w:pPr>
      <w:keepNext/>
      <w:keepLines/>
      <w:spacing w:before="240" w:after="0"/>
    </w:pPr>
    <w:rPr>
      <w:rFonts w:ascii="Roboto Light" w:eastAsiaTheme="majorEastAsia" w:hAnsi="Roboto Light" w:cstheme="majorBidi"/>
      <w:color w:val="555555" w:themeColor="text1"/>
      <w:sz w:val="36"/>
      <w:szCs w:val="32"/>
    </w:rPr>
  </w:style>
  <w:style w:type="character" w:customStyle="1" w:styleId="UNDERLINE">
    <w:name w:val="UNDERLINE"/>
    <w:uiPriority w:val="6"/>
    <w:qFormat/>
    <w:rsid w:val="007B4FAF"/>
    <w:rPr>
      <w:i w:val="0"/>
      <w:u w:val="single"/>
    </w:rPr>
  </w:style>
  <w:style w:type="numbering" w:customStyle="1" w:styleId="COMMBullets">
    <w:name w:val="COMM Bullets"/>
    <w:uiPriority w:val="99"/>
    <w:rsid w:val="0012522D"/>
    <w:pPr>
      <w:numPr>
        <w:numId w:val="9"/>
      </w:numPr>
    </w:pPr>
  </w:style>
  <w:style w:type="numbering" w:customStyle="1" w:styleId="OrangeCircle">
    <w:name w:val="Orange Circle"/>
    <w:basedOn w:val="NoList"/>
    <w:uiPriority w:val="99"/>
    <w:rsid w:val="0012522D"/>
    <w:pPr>
      <w:numPr>
        <w:numId w:val="11"/>
      </w:numPr>
    </w:pPr>
  </w:style>
  <w:style w:type="paragraph" w:customStyle="1" w:styleId="CircleOrange">
    <w:name w:val="Circle Orange"/>
    <w:basedOn w:val="Bodycopy1"/>
    <w:uiPriority w:val="13"/>
    <w:qFormat/>
    <w:rsid w:val="0012522D"/>
    <w:pPr>
      <w:numPr>
        <w:numId w:val="12"/>
      </w:numPr>
    </w:pPr>
    <w:rPr>
      <w:color w:val="6E767D" w:themeColor="accent5"/>
      <w:szCs w:val="24"/>
    </w:rPr>
  </w:style>
  <w:style w:type="numbering" w:customStyle="1" w:styleId="NumberedList">
    <w:name w:val="Numbered List"/>
    <w:uiPriority w:val="99"/>
    <w:rsid w:val="007B4FAF"/>
    <w:pPr>
      <w:numPr>
        <w:numId w:val="7"/>
      </w:numPr>
    </w:pPr>
  </w:style>
  <w:style w:type="paragraph" w:styleId="Quote">
    <w:name w:val="Quote"/>
    <w:basedOn w:val="Normal"/>
    <w:next w:val="Normal"/>
    <w:link w:val="QuoteChar"/>
    <w:uiPriority w:val="29"/>
    <w:semiHidden/>
    <w:qFormat/>
    <w:locked/>
    <w:rsid w:val="000516D1"/>
    <w:pPr>
      <w:spacing w:before="200"/>
      <w:ind w:left="864" w:right="864"/>
      <w:jc w:val="center"/>
    </w:pPr>
    <w:rPr>
      <w:i/>
      <w:iCs/>
      <w:color w:val="7F7F7F" w:themeColor="text1" w:themeTint="BF"/>
    </w:rPr>
  </w:style>
  <w:style w:type="character" w:customStyle="1" w:styleId="QuoteChar">
    <w:name w:val="Quote Char"/>
    <w:basedOn w:val="DefaultParagraphFont"/>
    <w:link w:val="Quote"/>
    <w:uiPriority w:val="29"/>
    <w:semiHidden/>
    <w:rsid w:val="000A4439"/>
    <w:rPr>
      <w:i/>
      <w:iCs/>
      <w:color w:val="7F7F7F" w:themeColor="text1" w:themeTint="BF"/>
    </w:rPr>
  </w:style>
  <w:style w:type="character" w:styleId="IntenseEmphasis">
    <w:name w:val="Intense Emphasis"/>
    <w:basedOn w:val="DefaultParagraphFont"/>
    <w:uiPriority w:val="21"/>
    <w:semiHidden/>
    <w:qFormat/>
    <w:locked/>
    <w:rsid w:val="000516D1"/>
    <w:rPr>
      <w:i/>
      <w:iCs/>
      <w:color w:val="00BCE8" w:themeColor="accent1"/>
    </w:rPr>
  </w:style>
  <w:style w:type="character" w:styleId="SubtleEmphasis">
    <w:name w:val="Subtle Emphasis"/>
    <w:basedOn w:val="DefaultParagraphFont"/>
    <w:uiPriority w:val="19"/>
    <w:semiHidden/>
    <w:qFormat/>
    <w:locked/>
    <w:rsid w:val="000516D1"/>
    <w:rPr>
      <w:i/>
      <w:iCs/>
      <w:color w:val="7F7F7F" w:themeColor="text1" w:themeTint="BF"/>
    </w:rPr>
  </w:style>
  <w:style w:type="paragraph" w:customStyle="1" w:styleId="TitleWhite">
    <w:name w:val="Title (White)"/>
    <w:basedOn w:val="Title"/>
    <w:next w:val="Heading1White"/>
    <w:qFormat/>
    <w:rsid w:val="001213E7"/>
    <w:pPr>
      <w:tabs>
        <w:tab w:val="left" w:pos="5175"/>
      </w:tabs>
    </w:pPr>
    <w:rPr>
      <w:color w:val="FFFFFF" w:themeColor="background1"/>
    </w:rPr>
  </w:style>
  <w:style w:type="paragraph" w:customStyle="1" w:styleId="Heading1White">
    <w:name w:val="Heading 1 (White)"/>
    <w:basedOn w:val="Heading1"/>
    <w:next w:val="Bodycopy1White"/>
    <w:uiPriority w:val="1"/>
    <w:qFormat/>
    <w:rsid w:val="00DC1978"/>
    <w:pPr>
      <w:spacing w:before="0" w:line="240" w:lineRule="auto"/>
    </w:pPr>
    <w:rPr>
      <w:color w:val="FFFFFF" w:themeColor="background1"/>
    </w:rPr>
  </w:style>
  <w:style w:type="table" w:styleId="GridTable1Light">
    <w:name w:val="Grid Table 1 Light"/>
    <w:basedOn w:val="TableNormal"/>
    <w:uiPriority w:val="46"/>
    <w:locked/>
    <w:rsid w:val="00B00CAD"/>
    <w:pPr>
      <w:spacing w:after="0" w:line="240" w:lineRule="auto"/>
    </w:pPr>
    <w:tblPr>
      <w:tblStyleRowBandSize w:val="1"/>
      <w:tblStyleColBandSize w:val="1"/>
      <w:tblBorders>
        <w:top w:val="single" w:sz="4" w:space="0" w:color="BBBBBB" w:themeColor="text1" w:themeTint="66"/>
        <w:left w:val="single" w:sz="4" w:space="0" w:color="BBBBBB" w:themeColor="text1" w:themeTint="66"/>
        <w:bottom w:val="single" w:sz="4" w:space="0" w:color="BBBBBB" w:themeColor="text1" w:themeTint="66"/>
        <w:right w:val="single" w:sz="4" w:space="0" w:color="BBBBBB" w:themeColor="text1" w:themeTint="66"/>
        <w:insideH w:val="single" w:sz="4" w:space="0" w:color="BBBBBB" w:themeColor="text1" w:themeTint="66"/>
        <w:insideV w:val="single" w:sz="4" w:space="0" w:color="BBBBBB" w:themeColor="text1" w:themeTint="66"/>
      </w:tblBorders>
    </w:tblPr>
    <w:tblStylePr w:type="firstRow">
      <w:rPr>
        <w:b/>
        <w:bCs/>
      </w:rPr>
      <w:tblPr/>
      <w:tcPr>
        <w:tcBorders>
          <w:bottom w:val="single" w:sz="12" w:space="0" w:color="999999" w:themeColor="text1" w:themeTint="99"/>
        </w:tcBorders>
      </w:tcPr>
    </w:tblStylePr>
    <w:tblStylePr w:type="lastRow">
      <w:rPr>
        <w:b/>
        <w:bCs/>
      </w:rPr>
      <w:tblPr/>
      <w:tcPr>
        <w:tcBorders>
          <w:top w:val="double" w:sz="2" w:space="0" w:color="99999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B00CAD"/>
    <w:pPr>
      <w:spacing w:after="0" w:line="240" w:lineRule="auto"/>
    </w:pPr>
    <w:tblPr>
      <w:tblStyleRowBandSize w:val="1"/>
      <w:tblStyleColBandSize w:val="1"/>
      <w:tblBorders>
        <w:top w:val="single" w:sz="4" w:space="0" w:color="8FE9FF" w:themeColor="accent1" w:themeTint="66"/>
        <w:left w:val="single" w:sz="4" w:space="0" w:color="8FE9FF" w:themeColor="accent1" w:themeTint="66"/>
        <w:bottom w:val="single" w:sz="4" w:space="0" w:color="8FE9FF" w:themeColor="accent1" w:themeTint="66"/>
        <w:right w:val="single" w:sz="4" w:space="0" w:color="8FE9FF" w:themeColor="accent1" w:themeTint="66"/>
        <w:insideH w:val="single" w:sz="4" w:space="0" w:color="8FE9FF" w:themeColor="accent1" w:themeTint="66"/>
        <w:insideV w:val="single" w:sz="4" w:space="0" w:color="8FE9FF" w:themeColor="accent1" w:themeTint="66"/>
      </w:tblBorders>
    </w:tblPr>
    <w:tblStylePr w:type="firstRow">
      <w:rPr>
        <w:b/>
        <w:bCs/>
      </w:rPr>
      <w:tblPr/>
      <w:tcPr>
        <w:tcBorders>
          <w:bottom w:val="single" w:sz="12" w:space="0" w:color="58DEFF" w:themeColor="accent1" w:themeTint="99"/>
        </w:tcBorders>
      </w:tcPr>
    </w:tblStylePr>
    <w:tblStylePr w:type="lastRow">
      <w:rPr>
        <w:b/>
        <w:bCs/>
      </w:rPr>
      <w:tblPr/>
      <w:tcPr>
        <w:tcBorders>
          <w:top w:val="double" w:sz="2" w:space="0" w:color="58DE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locked/>
    <w:rsid w:val="00B00CAD"/>
    <w:pPr>
      <w:spacing w:after="0" w:line="240" w:lineRule="auto"/>
    </w:pPr>
    <w:tblPr>
      <w:tblStyleRowBandSize w:val="1"/>
      <w:tblStyleColBandSize w:val="1"/>
      <w:tblBorders>
        <w:top w:val="single" w:sz="4" w:space="0" w:color="F7BEA0" w:themeColor="accent2" w:themeTint="66"/>
        <w:left w:val="single" w:sz="4" w:space="0" w:color="F7BEA0" w:themeColor="accent2" w:themeTint="66"/>
        <w:bottom w:val="single" w:sz="4" w:space="0" w:color="F7BEA0" w:themeColor="accent2" w:themeTint="66"/>
        <w:right w:val="single" w:sz="4" w:space="0" w:color="F7BEA0" w:themeColor="accent2" w:themeTint="66"/>
        <w:insideH w:val="single" w:sz="4" w:space="0" w:color="F7BEA0" w:themeColor="accent2" w:themeTint="66"/>
        <w:insideV w:val="single" w:sz="4" w:space="0" w:color="F7BEA0" w:themeColor="accent2" w:themeTint="66"/>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2" w:space="0" w:color="F39E71" w:themeColor="accent2"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B00CAD"/>
    <w:pPr>
      <w:spacing w:after="0" w:line="240" w:lineRule="auto"/>
    </w:pPr>
    <w:tblPr>
      <w:tblStyleRowBandSize w:val="1"/>
      <w:tblStyleColBandSize w:val="1"/>
      <w:tblBorders>
        <w:top w:val="single" w:sz="4" w:space="0" w:color="A9A9A9" w:themeColor="text1" w:themeTint="80"/>
        <w:bottom w:val="single" w:sz="4" w:space="0" w:color="A9A9A9" w:themeColor="text1" w:themeTint="80"/>
      </w:tblBorders>
    </w:tblPr>
    <w:tblStylePr w:type="firstRow">
      <w:rPr>
        <w:b/>
        <w:bCs/>
      </w:rPr>
      <w:tblPr/>
      <w:tcPr>
        <w:tcBorders>
          <w:bottom w:val="single" w:sz="4" w:space="0" w:color="A9A9A9" w:themeColor="text1" w:themeTint="80"/>
        </w:tcBorders>
      </w:tcPr>
    </w:tblStylePr>
    <w:tblStylePr w:type="lastRow">
      <w:rPr>
        <w:b/>
        <w:bCs/>
      </w:rPr>
      <w:tblPr/>
      <w:tcPr>
        <w:tcBorders>
          <w:top w:val="single" w:sz="4" w:space="0" w:color="A9A9A9" w:themeColor="text1" w:themeTint="80"/>
        </w:tcBorders>
      </w:tcPr>
    </w:tblStylePr>
    <w:tblStylePr w:type="firstCol">
      <w:rPr>
        <w:b/>
        <w:bCs/>
      </w:rPr>
    </w:tblStylePr>
    <w:tblStylePr w:type="lastCol">
      <w:rPr>
        <w:b/>
        <w:bCs/>
      </w:rPr>
    </w:tblStylePr>
    <w:tblStylePr w:type="band1Vert">
      <w:tblPr/>
      <w:tcPr>
        <w:tcBorders>
          <w:left w:val="single" w:sz="4" w:space="0" w:color="A9A9A9" w:themeColor="text1" w:themeTint="80"/>
          <w:right w:val="single" w:sz="4" w:space="0" w:color="A9A9A9" w:themeColor="text1" w:themeTint="80"/>
        </w:tcBorders>
      </w:tcPr>
    </w:tblStylePr>
    <w:tblStylePr w:type="band2Vert">
      <w:tblPr/>
      <w:tcPr>
        <w:tcBorders>
          <w:left w:val="single" w:sz="4" w:space="0" w:color="A9A9A9" w:themeColor="text1" w:themeTint="80"/>
          <w:right w:val="single" w:sz="4" w:space="0" w:color="A9A9A9" w:themeColor="text1" w:themeTint="80"/>
        </w:tcBorders>
      </w:tcPr>
    </w:tblStylePr>
    <w:tblStylePr w:type="band1Horz">
      <w:tblPr/>
      <w:tcPr>
        <w:tcBorders>
          <w:top w:val="single" w:sz="4" w:space="0" w:color="A9A9A9" w:themeColor="text1" w:themeTint="80"/>
          <w:bottom w:val="single" w:sz="4" w:space="0" w:color="A9A9A9" w:themeColor="text1" w:themeTint="80"/>
        </w:tcBorders>
      </w:tcPr>
    </w:tblStylePr>
  </w:style>
  <w:style w:type="table" w:styleId="GridTable6Colorful-Accent2">
    <w:name w:val="Grid Table 6 Colorful Accent 2"/>
    <w:basedOn w:val="TableNormal"/>
    <w:uiPriority w:val="51"/>
    <w:locked/>
    <w:rsid w:val="00B00CAD"/>
    <w:pPr>
      <w:spacing w:after="0" w:line="240" w:lineRule="auto"/>
    </w:pPr>
    <w:rPr>
      <w:color w:val="AF460F" w:themeColor="accent2" w:themeShade="BF"/>
    </w:rPr>
    <w:tblPr>
      <w:tblStyleRowBandSize w:val="1"/>
      <w:tblStyleColBandSize w:val="1"/>
      <w:tblBorders>
        <w:top w:val="single" w:sz="4" w:space="0" w:color="F39E71" w:themeColor="accent2" w:themeTint="99"/>
        <w:left w:val="single" w:sz="4" w:space="0" w:color="F39E71" w:themeColor="accent2" w:themeTint="99"/>
        <w:bottom w:val="single" w:sz="4" w:space="0" w:color="F39E71" w:themeColor="accent2" w:themeTint="99"/>
        <w:right w:val="single" w:sz="4" w:space="0" w:color="F39E71" w:themeColor="accent2" w:themeTint="99"/>
        <w:insideH w:val="single" w:sz="4" w:space="0" w:color="F39E71" w:themeColor="accent2" w:themeTint="99"/>
        <w:insideV w:val="single" w:sz="4" w:space="0" w:color="F39E71" w:themeColor="accent2" w:themeTint="99"/>
      </w:tblBorders>
    </w:tblPr>
    <w:tblStylePr w:type="firstRow">
      <w:rPr>
        <w:b/>
        <w:bCs/>
      </w:rPr>
      <w:tblPr/>
      <w:tcPr>
        <w:tcBorders>
          <w:bottom w:val="single" w:sz="12" w:space="0" w:color="F39E71" w:themeColor="accent2" w:themeTint="99"/>
        </w:tcBorders>
      </w:tcPr>
    </w:tblStylePr>
    <w:tblStylePr w:type="lastRow">
      <w:rPr>
        <w:b/>
        <w:bCs/>
      </w:rPr>
      <w:tblPr/>
      <w:tcPr>
        <w:tcBorders>
          <w:top w:val="double" w:sz="4" w:space="0" w:color="F39E71" w:themeColor="accent2" w:themeTint="99"/>
        </w:tcBorders>
      </w:tcPr>
    </w:tblStylePr>
    <w:tblStylePr w:type="firstCol">
      <w:rPr>
        <w:b/>
        <w:bCs/>
      </w:rPr>
    </w:tblStylePr>
    <w:tblStylePr w:type="lastCol">
      <w:rPr>
        <w:b/>
        <w:bCs/>
      </w:rPr>
    </w:tblStylePr>
    <w:tblStylePr w:type="band1Vert">
      <w:tblPr/>
      <w:tcPr>
        <w:shd w:val="clear" w:color="auto" w:fill="FBDECF" w:themeFill="accent2" w:themeFillTint="33"/>
      </w:tcPr>
    </w:tblStylePr>
    <w:tblStylePr w:type="band1Horz">
      <w:tblPr/>
      <w:tcPr>
        <w:shd w:val="clear" w:color="auto" w:fill="FBDECF" w:themeFill="accent2" w:themeFillTint="33"/>
      </w:tcPr>
    </w:tblStylePr>
  </w:style>
  <w:style w:type="table" w:styleId="ListTable4-Accent4">
    <w:name w:val="List Table 4 Accent 4"/>
    <w:basedOn w:val="TableNormal"/>
    <w:uiPriority w:val="49"/>
    <w:locked/>
    <w:rsid w:val="00B00CAD"/>
    <w:pPr>
      <w:spacing w:after="0" w:line="240" w:lineRule="auto"/>
    </w:pPr>
    <w:tblPr>
      <w:tblStyleRowBandSize w:val="1"/>
      <w:tblStyleColBandSize w:val="1"/>
      <w:tblBorders>
        <w:top w:val="single" w:sz="4" w:space="0" w:color="FF2AA3" w:themeColor="accent4" w:themeTint="99"/>
        <w:left w:val="single" w:sz="4" w:space="0" w:color="FF2AA3" w:themeColor="accent4" w:themeTint="99"/>
        <w:bottom w:val="single" w:sz="4" w:space="0" w:color="FF2AA3" w:themeColor="accent4" w:themeTint="99"/>
        <w:right w:val="single" w:sz="4" w:space="0" w:color="FF2AA3" w:themeColor="accent4" w:themeTint="99"/>
        <w:insideH w:val="single" w:sz="4" w:space="0" w:color="FF2AA3" w:themeColor="accent4" w:themeTint="99"/>
      </w:tblBorders>
    </w:tblPr>
    <w:tblStylePr w:type="firstRow">
      <w:rPr>
        <w:b/>
        <w:bCs/>
        <w:color w:val="FFFFFF" w:themeColor="background1"/>
      </w:rPr>
      <w:tblPr/>
      <w:tcPr>
        <w:tcBorders>
          <w:top w:val="single" w:sz="4" w:space="0" w:color="9B0059" w:themeColor="accent4"/>
          <w:left w:val="single" w:sz="4" w:space="0" w:color="9B0059" w:themeColor="accent4"/>
          <w:bottom w:val="single" w:sz="4" w:space="0" w:color="9B0059" w:themeColor="accent4"/>
          <w:right w:val="single" w:sz="4" w:space="0" w:color="9B0059" w:themeColor="accent4"/>
          <w:insideH w:val="nil"/>
        </w:tcBorders>
        <w:shd w:val="clear" w:color="auto" w:fill="9B0059" w:themeFill="accent4"/>
      </w:tcPr>
    </w:tblStylePr>
    <w:tblStylePr w:type="lastRow">
      <w:rPr>
        <w:b/>
        <w:bCs/>
      </w:rPr>
      <w:tblPr/>
      <w:tcPr>
        <w:tcBorders>
          <w:top w:val="double" w:sz="4" w:space="0" w:color="FF2AA3" w:themeColor="accent4" w:themeTint="99"/>
        </w:tcBorders>
      </w:tcPr>
    </w:tblStylePr>
    <w:tblStylePr w:type="firstCol">
      <w:rPr>
        <w:b/>
        <w:bCs/>
      </w:rPr>
    </w:tblStylePr>
    <w:tblStylePr w:type="lastCol">
      <w:rPr>
        <w:b/>
        <w:bCs/>
      </w:rPr>
    </w:tblStylePr>
    <w:tblStylePr w:type="band1Vert">
      <w:tblPr/>
      <w:tcPr>
        <w:shd w:val="clear" w:color="auto" w:fill="FFB8E0" w:themeFill="accent4" w:themeFillTint="33"/>
      </w:tcPr>
    </w:tblStylePr>
    <w:tblStylePr w:type="band1Horz">
      <w:tblPr/>
      <w:tcPr>
        <w:shd w:val="clear" w:color="auto" w:fill="FFB8E0" w:themeFill="accent4" w:themeFillTint="33"/>
      </w:tcPr>
    </w:tblStylePr>
  </w:style>
  <w:style w:type="paragraph" w:styleId="FootnoteText">
    <w:name w:val="footnote text"/>
    <w:basedOn w:val="Bodycopy1"/>
    <w:link w:val="FootnoteTextChar"/>
    <w:uiPriority w:val="99"/>
    <w:qFormat/>
    <w:rsid w:val="009F2907"/>
    <w:pPr>
      <w:spacing w:after="0" w:line="240" w:lineRule="auto"/>
    </w:pPr>
    <w:rPr>
      <w:color w:val="6E767D" w:themeColor="accent5"/>
      <w:sz w:val="18"/>
      <w:szCs w:val="20"/>
    </w:rPr>
  </w:style>
  <w:style w:type="character" w:customStyle="1" w:styleId="FootnoteTextChar">
    <w:name w:val="Footnote Text Char"/>
    <w:basedOn w:val="DefaultParagraphFont"/>
    <w:link w:val="FootnoteText"/>
    <w:uiPriority w:val="99"/>
    <w:rsid w:val="009F2907"/>
    <w:rPr>
      <w:sz w:val="18"/>
      <w:szCs w:val="20"/>
    </w:rPr>
  </w:style>
  <w:style w:type="character" w:styleId="FootnoteReference">
    <w:name w:val="footnote reference"/>
    <w:basedOn w:val="Bodycopy1Char"/>
    <w:uiPriority w:val="99"/>
    <w:rsid w:val="00753758"/>
    <w:rPr>
      <w:color w:val="555555" w:themeColor="text1"/>
      <w:vertAlign w:val="superscript"/>
    </w:rPr>
  </w:style>
  <w:style w:type="paragraph" w:styleId="EndnoteText">
    <w:name w:val="endnote text"/>
    <w:basedOn w:val="Normal"/>
    <w:link w:val="EndnoteTextChar"/>
    <w:uiPriority w:val="99"/>
    <w:rsid w:val="006D6B8C"/>
    <w:pPr>
      <w:spacing w:after="0" w:line="240" w:lineRule="auto"/>
    </w:pPr>
    <w:rPr>
      <w:color w:val="6E767D" w:themeColor="accent5"/>
      <w:sz w:val="18"/>
      <w:szCs w:val="20"/>
    </w:rPr>
  </w:style>
  <w:style w:type="character" w:customStyle="1" w:styleId="EndnoteTextChar">
    <w:name w:val="Endnote Text Char"/>
    <w:basedOn w:val="DefaultParagraphFont"/>
    <w:link w:val="EndnoteText"/>
    <w:uiPriority w:val="99"/>
    <w:rsid w:val="004C6A9D"/>
    <w:rPr>
      <w:color w:val="6E767D" w:themeColor="accent5"/>
      <w:sz w:val="18"/>
      <w:szCs w:val="20"/>
    </w:rPr>
  </w:style>
  <w:style w:type="character" w:styleId="EndnoteReference">
    <w:name w:val="endnote reference"/>
    <w:basedOn w:val="Bodycopy1Char"/>
    <w:uiPriority w:val="99"/>
    <w:rsid w:val="004F078B"/>
    <w:rPr>
      <w:rFonts w:ascii="Roboto" w:hAnsi="Roboto"/>
      <w:color w:val="555555" w:themeColor="text2"/>
      <w:sz w:val="22"/>
      <w:vertAlign w:val="superscript"/>
    </w:rPr>
  </w:style>
  <w:style w:type="paragraph" w:customStyle="1" w:styleId="TableContentAlignRight">
    <w:name w:val="Table Content (Align Right)"/>
    <w:basedOn w:val="Normal"/>
    <w:uiPriority w:val="7"/>
    <w:qFormat/>
    <w:rsid w:val="00130B96"/>
    <w:pPr>
      <w:tabs>
        <w:tab w:val="left" w:pos="360"/>
      </w:tabs>
      <w:jc w:val="right"/>
    </w:pPr>
    <w:rPr>
      <w:color w:val="555555" w:themeColor="text2"/>
    </w:rPr>
  </w:style>
  <w:style w:type="character" w:styleId="CommentReference">
    <w:name w:val="annotation reference"/>
    <w:basedOn w:val="DefaultParagraphFont"/>
    <w:uiPriority w:val="99"/>
    <w:semiHidden/>
    <w:unhideWhenUsed/>
    <w:locked/>
    <w:rsid w:val="008E7BDA"/>
    <w:rPr>
      <w:sz w:val="16"/>
      <w:szCs w:val="16"/>
    </w:rPr>
  </w:style>
  <w:style w:type="paragraph" w:styleId="CommentText">
    <w:name w:val="annotation text"/>
    <w:basedOn w:val="Normal"/>
    <w:link w:val="CommentTextChar"/>
    <w:uiPriority w:val="99"/>
    <w:semiHidden/>
    <w:unhideWhenUsed/>
    <w:locked/>
    <w:rsid w:val="008E7BDA"/>
    <w:pPr>
      <w:spacing w:line="240" w:lineRule="auto"/>
    </w:pPr>
    <w:rPr>
      <w:sz w:val="20"/>
      <w:szCs w:val="20"/>
    </w:rPr>
  </w:style>
  <w:style w:type="character" w:customStyle="1" w:styleId="CommentTextChar">
    <w:name w:val="Comment Text Char"/>
    <w:basedOn w:val="DefaultParagraphFont"/>
    <w:link w:val="CommentText"/>
    <w:uiPriority w:val="99"/>
    <w:semiHidden/>
    <w:rsid w:val="008E7BDA"/>
    <w:rPr>
      <w:sz w:val="20"/>
      <w:szCs w:val="20"/>
    </w:rPr>
  </w:style>
  <w:style w:type="paragraph" w:styleId="CommentSubject">
    <w:name w:val="annotation subject"/>
    <w:basedOn w:val="CommentText"/>
    <w:next w:val="CommentText"/>
    <w:link w:val="CommentSubjectChar"/>
    <w:uiPriority w:val="99"/>
    <w:semiHidden/>
    <w:unhideWhenUsed/>
    <w:locked/>
    <w:rsid w:val="008E7BDA"/>
    <w:rPr>
      <w:b/>
      <w:bCs/>
    </w:rPr>
  </w:style>
  <w:style w:type="character" w:customStyle="1" w:styleId="CommentSubjectChar">
    <w:name w:val="Comment Subject Char"/>
    <w:basedOn w:val="CommentTextChar"/>
    <w:link w:val="CommentSubject"/>
    <w:uiPriority w:val="99"/>
    <w:semiHidden/>
    <w:rsid w:val="008E7BDA"/>
    <w:rPr>
      <w:b/>
      <w:bCs/>
      <w:sz w:val="20"/>
      <w:szCs w:val="20"/>
    </w:rPr>
  </w:style>
  <w:style w:type="paragraph" w:customStyle="1" w:styleId="BylineSourceWhite">
    <w:name w:val="Byline/Source (White)"/>
    <w:link w:val="BylineSourceWhiteChar"/>
    <w:uiPriority w:val="5"/>
    <w:qFormat/>
    <w:rsid w:val="00D75D1B"/>
    <w:rPr>
      <w:color w:val="FFFFFF" w:themeColor="background1"/>
      <w:sz w:val="16"/>
      <w:szCs w:val="16"/>
    </w:rPr>
  </w:style>
  <w:style w:type="character" w:customStyle="1" w:styleId="BylineSourceWhiteChar">
    <w:name w:val="Byline/Source (White) Char"/>
    <w:basedOn w:val="DefaultParagraphFont"/>
    <w:link w:val="BylineSourceWhite"/>
    <w:uiPriority w:val="5"/>
    <w:rsid w:val="00D75D1B"/>
    <w:rPr>
      <w:color w:val="FFFFFF" w:themeColor="background1"/>
      <w:sz w:val="16"/>
      <w:szCs w:val="16"/>
    </w:rPr>
  </w:style>
  <w:style w:type="paragraph" w:customStyle="1" w:styleId="TableHeading1">
    <w:name w:val="Table Heading 1"/>
    <w:uiPriority w:val="1"/>
    <w:rsid w:val="00057B7F"/>
    <w:pPr>
      <w:keepNext/>
    </w:pPr>
    <w:rPr>
      <w:b/>
      <w:color w:val="555555" w:themeColor="text1"/>
      <w:sz w:val="28"/>
    </w:rPr>
  </w:style>
  <w:style w:type="table" w:styleId="ColorfulGrid-Accent3">
    <w:name w:val="Colorful Grid Accent 3"/>
    <w:basedOn w:val="TableNormal"/>
    <w:uiPriority w:val="73"/>
    <w:semiHidden/>
    <w:unhideWhenUsed/>
    <w:locked/>
    <w:rsid w:val="008025D0"/>
    <w:pPr>
      <w:spacing w:after="0" w:line="240" w:lineRule="auto"/>
    </w:pPr>
    <w:rPr>
      <w:color w:val="555555" w:themeColor="text1"/>
    </w:rPr>
    <w:tblPr>
      <w:tblStyleRowBandSize w:val="1"/>
      <w:tblStyleColBandSize w:val="1"/>
      <w:tblBorders>
        <w:insideH w:val="single" w:sz="4" w:space="0" w:color="FFFFFF" w:themeColor="background1"/>
      </w:tblBorders>
    </w:tblPr>
    <w:tcPr>
      <w:shd w:val="clear" w:color="auto" w:fill="F9FFC2" w:themeFill="accent3" w:themeFillTint="33"/>
    </w:tcPr>
    <w:tblStylePr w:type="firstRow">
      <w:rPr>
        <w:b/>
        <w:bCs/>
      </w:rPr>
      <w:tblPr/>
      <w:tcPr>
        <w:shd w:val="clear" w:color="auto" w:fill="F3FF85" w:themeFill="accent3" w:themeFillTint="66"/>
      </w:tcPr>
    </w:tblStylePr>
    <w:tblStylePr w:type="lastRow">
      <w:rPr>
        <w:b/>
        <w:bCs/>
        <w:color w:val="555555" w:themeColor="text1"/>
      </w:rPr>
      <w:tblPr/>
      <w:tcPr>
        <w:shd w:val="clear" w:color="auto" w:fill="F3FF85" w:themeFill="accent3" w:themeFillTint="66"/>
      </w:tcPr>
    </w:tblStylePr>
    <w:tblStylePr w:type="firstCol">
      <w:rPr>
        <w:color w:val="FFFFFF" w:themeColor="background1"/>
      </w:rPr>
      <w:tblPr/>
      <w:tcPr>
        <w:shd w:val="clear" w:color="auto" w:fill="8B9A00" w:themeFill="accent3" w:themeFillShade="BF"/>
      </w:tcPr>
    </w:tblStylePr>
    <w:tblStylePr w:type="lastCol">
      <w:rPr>
        <w:color w:val="FFFFFF" w:themeColor="background1"/>
      </w:rPr>
      <w:tblPr/>
      <w:tcPr>
        <w:shd w:val="clear" w:color="auto" w:fill="8B9A00" w:themeFill="accent3" w:themeFillShade="BF"/>
      </w:tcPr>
    </w:tblStylePr>
    <w:tblStylePr w:type="band1Vert">
      <w:tblPr/>
      <w:tcPr>
        <w:shd w:val="clear" w:color="auto" w:fill="F0FF67" w:themeFill="accent3" w:themeFillTint="7F"/>
      </w:tcPr>
    </w:tblStylePr>
    <w:tblStylePr w:type="band1Horz">
      <w:tblPr/>
      <w:tcPr>
        <w:shd w:val="clear" w:color="auto" w:fill="F0FF67" w:themeFill="accent3" w:themeFillTint="7F"/>
      </w:tcPr>
    </w:tblStylePr>
  </w:style>
  <w:style w:type="paragraph" w:customStyle="1" w:styleId="ProgramName">
    <w:name w:val="Program Name"/>
    <w:uiPriority w:val="5"/>
    <w:qFormat/>
    <w:rsid w:val="00CF3E80"/>
    <w:pPr>
      <w:spacing w:after="0" w:line="192" w:lineRule="auto"/>
      <w:textboxTightWrap w:val="allLines"/>
    </w:pPr>
    <w:rPr>
      <w:b/>
      <w:caps/>
      <w:color w:val="555555" w:themeColor="text2"/>
      <w:sz w:val="20"/>
    </w:rPr>
  </w:style>
  <w:style w:type="paragraph" w:customStyle="1" w:styleId="UNITNAME">
    <w:name w:val="UNIT NAME"/>
    <w:basedOn w:val="ProgramName"/>
    <w:uiPriority w:val="5"/>
    <w:qFormat/>
    <w:rsid w:val="000A6A13"/>
    <w:rPr>
      <w:b w:val="0"/>
    </w:rPr>
  </w:style>
  <w:style w:type="table" w:styleId="TableGridLight">
    <w:name w:val="Grid Table Light"/>
    <w:basedOn w:val="TableNormal"/>
    <w:uiPriority w:val="40"/>
    <w:rsid w:val="004155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Bullet">
    <w:name w:val="List Bullet"/>
    <w:basedOn w:val="Normal"/>
    <w:uiPriority w:val="10"/>
    <w:qFormat/>
    <w:rsid w:val="004C6A9D"/>
    <w:pPr>
      <w:numPr>
        <w:numId w:val="1"/>
      </w:numPr>
      <w:contextualSpacing/>
    </w:pPr>
    <w:rPr>
      <w:color w:val="555555" w:themeColor="text2"/>
    </w:rPr>
  </w:style>
  <w:style w:type="paragraph" w:styleId="ListBullet2">
    <w:name w:val="List Bullet 2"/>
    <w:basedOn w:val="Normal"/>
    <w:uiPriority w:val="10"/>
    <w:qFormat/>
    <w:rsid w:val="00140E4F"/>
    <w:pPr>
      <w:numPr>
        <w:numId w:val="3"/>
      </w:numPr>
      <w:contextualSpacing/>
    </w:pPr>
    <w:rPr>
      <w:color w:val="555555" w:themeColor="text2"/>
    </w:rPr>
  </w:style>
  <w:style w:type="paragraph" w:styleId="ListBullet3">
    <w:name w:val="List Bullet 3"/>
    <w:basedOn w:val="Normal"/>
    <w:uiPriority w:val="10"/>
    <w:qFormat/>
    <w:rsid w:val="00140E4F"/>
    <w:pPr>
      <w:numPr>
        <w:numId w:val="5"/>
      </w:numPr>
      <w:contextualSpacing/>
    </w:pPr>
    <w:rPr>
      <w:color w:val="555555" w:themeColor="text2"/>
    </w:rPr>
  </w:style>
  <w:style w:type="paragraph" w:styleId="ListBullet4">
    <w:name w:val="List Bullet 4"/>
    <w:basedOn w:val="Normal"/>
    <w:uiPriority w:val="10"/>
    <w:rsid w:val="00D76352"/>
    <w:pPr>
      <w:numPr>
        <w:numId w:val="13"/>
      </w:numPr>
      <w:contextualSpacing/>
    </w:pPr>
    <w:rPr>
      <w:color w:val="555555" w:themeColor="text2"/>
    </w:rPr>
  </w:style>
  <w:style w:type="paragraph" w:styleId="ListBullet5">
    <w:name w:val="List Bullet 5"/>
    <w:basedOn w:val="Normal"/>
    <w:uiPriority w:val="10"/>
    <w:rsid w:val="00D76352"/>
    <w:pPr>
      <w:numPr>
        <w:numId w:val="14"/>
      </w:numPr>
      <w:contextualSpacing/>
    </w:pPr>
    <w:rPr>
      <w:color w:val="555555" w:themeColor="text2"/>
    </w:rPr>
  </w:style>
  <w:style w:type="paragraph" w:customStyle="1" w:styleId="Bodycopy1Indent">
    <w:name w:val="Body copy 1 Indent"/>
    <w:basedOn w:val="Bodycopy1"/>
    <w:uiPriority w:val="2"/>
    <w:qFormat/>
    <w:rsid w:val="00195653"/>
    <w:pPr>
      <w:ind w:left="432"/>
    </w:pPr>
  </w:style>
  <w:style w:type="paragraph" w:customStyle="1" w:styleId="Bodycopy2Indent">
    <w:name w:val="Body copy 2 Indent"/>
    <w:basedOn w:val="Bodycopy2"/>
    <w:uiPriority w:val="2"/>
    <w:qFormat/>
    <w:rsid w:val="006802BB"/>
    <w:pPr>
      <w:ind w:left="432"/>
    </w:pPr>
  </w:style>
  <w:style w:type="numbering" w:customStyle="1" w:styleId="ListNumberAlpha1">
    <w:name w:val="List Number/Alpha 1"/>
    <w:uiPriority w:val="99"/>
    <w:rsid w:val="00D1327C"/>
    <w:pPr>
      <w:numPr>
        <w:numId w:val="20"/>
      </w:numPr>
    </w:pPr>
  </w:style>
  <w:style w:type="numbering" w:customStyle="1" w:styleId="ListNumberAlpha2">
    <w:name w:val="List Number/Alpha 2"/>
    <w:uiPriority w:val="99"/>
    <w:rsid w:val="00D1327C"/>
    <w:pPr>
      <w:numPr>
        <w:numId w:val="21"/>
      </w:numPr>
    </w:pPr>
  </w:style>
  <w:style w:type="character" w:styleId="FollowedHyperlink">
    <w:name w:val="FollowedHyperlink"/>
    <w:basedOn w:val="DefaultParagraphFont"/>
    <w:uiPriority w:val="99"/>
    <w:semiHidden/>
    <w:rsid w:val="00151D8E"/>
    <w:rPr>
      <w:color w:val="9B0059" w:themeColor="accent4"/>
      <w:u w:val="single"/>
    </w:rPr>
  </w:style>
  <w:style w:type="paragraph" w:customStyle="1" w:styleId="TableContentSmall">
    <w:name w:val="Table Content (Small)"/>
    <w:basedOn w:val="Normal"/>
    <w:uiPriority w:val="7"/>
    <w:qFormat/>
    <w:rsid w:val="00544B8C"/>
    <w:pPr>
      <w:spacing w:after="0"/>
    </w:pPr>
    <w:rPr>
      <w:color w:val="555555" w:themeColor="text1"/>
      <w:sz w:val="16"/>
      <w:szCs w:val="20"/>
    </w:rPr>
  </w:style>
  <w:style w:type="paragraph" w:customStyle="1" w:styleId="TableContentSmallAlignCentered">
    <w:name w:val="Table Content (Small Align Centered)"/>
    <w:basedOn w:val="TableContentSmall"/>
    <w:uiPriority w:val="7"/>
    <w:qFormat/>
    <w:rsid w:val="00544B8C"/>
    <w:pPr>
      <w:spacing w:line="240" w:lineRule="auto"/>
      <w:jc w:val="center"/>
    </w:pPr>
  </w:style>
  <w:style w:type="paragraph" w:customStyle="1" w:styleId="TableContentSmallAlignRight">
    <w:name w:val="Table Content (Small Align Right)"/>
    <w:basedOn w:val="TableContentSmallAlignCentered"/>
    <w:uiPriority w:val="7"/>
    <w:qFormat/>
    <w:rsid w:val="00544B8C"/>
    <w:pPr>
      <w:jc w:val="right"/>
    </w:pPr>
  </w:style>
  <w:style w:type="paragraph" w:customStyle="1" w:styleId="TableContentWhiteSmallAlignRight">
    <w:name w:val="Table Content White (Small Align Right)"/>
    <w:basedOn w:val="TableContentSmallAlignRight"/>
    <w:uiPriority w:val="7"/>
    <w:qFormat/>
    <w:rsid w:val="00544B8C"/>
    <w:rPr>
      <w:color w:val="FFFFFF" w:themeColor="background1"/>
    </w:rPr>
  </w:style>
  <w:style w:type="paragraph" w:customStyle="1" w:styleId="TableContentWhiteSmallAlignCentered">
    <w:name w:val="Table Content White (Small Align Centered)"/>
    <w:basedOn w:val="TableContentSmallAlignCentered"/>
    <w:uiPriority w:val="7"/>
    <w:qFormat/>
    <w:rsid w:val="00544B8C"/>
    <w:rPr>
      <w:color w:val="FFFFFF" w:themeColor="background1"/>
    </w:rPr>
  </w:style>
  <w:style w:type="paragraph" w:customStyle="1" w:styleId="TableContentWhiteSmall">
    <w:name w:val="Table Content White (Small)"/>
    <w:basedOn w:val="TableContentSmall"/>
    <w:uiPriority w:val="7"/>
    <w:qFormat/>
    <w:rsid w:val="00544B8C"/>
    <w:rPr>
      <w:color w:val="FFFFFF" w:themeColor="background1"/>
    </w:rPr>
  </w:style>
  <w:style w:type="paragraph" w:customStyle="1" w:styleId="Wingdings">
    <w:name w:val="Wingdings"/>
    <w:basedOn w:val="Normal"/>
    <w:uiPriority w:val="13"/>
    <w:qFormat/>
    <w:rsid w:val="00544B8C"/>
    <w:rPr>
      <w:rFonts w:ascii="Wingdings" w:hAnsi="Wingdings"/>
      <w:color w:val="555555" w:themeColor="text2"/>
      <w:sz w:val="24"/>
    </w:rPr>
  </w:style>
  <w:style w:type="paragraph" w:customStyle="1" w:styleId="Wingdings2">
    <w:name w:val="Wingdings 2"/>
    <w:basedOn w:val="Wingdings"/>
    <w:uiPriority w:val="13"/>
    <w:qFormat/>
    <w:rsid w:val="00544B8C"/>
    <w:rPr>
      <w:rFonts w:ascii="Wingdings 2" w:hAnsi="Wingdings 2"/>
    </w:rPr>
  </w:style>
  <w:style w:type="paragraph" w:customStyle="1" w:styleId="Wingdings3">
    <w:name w:val="Wingdings 3"/>
    <w:basedOn w:val="Wingdings2"/>
    <w:uiPriority w:val="13"/>
    <w:qFormat/>
    <w:rsid w:val="00544B8C"/>
    <w:rPr>
      <w:rFonts w:ascii="Wingdings 3" w:hAnsi="Wingdings 3"/>
    </w:rPr>
  </w:style>
  <w:style w:type="paragraph" w:customStyle="1" w:styleId="WingdingsCentered">
    <w:name w:val="Wingdings Centered"/>
    <w:basedOn w:val="Wingdings"/>
    <w:uiPriority w:val="13"/>
    <w:qFormat/>
    <w:rsid w:val="00544B8C"/>
    <w:pPr>
      <w:jc w:val="center"/>
    </w:pPr>
  </w:style>
  <w:style w:type="paragraph" w:customStyle="1" w:styleId="Wingdings2Centered">
    <w:name w:val="Wingdings 2 Centered"/>
    <w:basedOn w:val="Wingdings2"/>
    <w:uiPriority w:val="13"/>
    <w:qFormat/>
    <w:rsid w:val="00544B8C"/>
    <w:pPr>
      <w:jc w:val="center"/>
    </w:pPr>
  </w:style>
  <w:style w:type="paragraph" w:customStyle="1" w:styleId="Wingdings3Centered">
    <w:name w:val="Wingdings 3 Centered"/>
    <w:basedOn w:val="Wingdings3"/>
    <w:uiPriority w:val="13"/>
    <w:qFormat/>
    <w:rsid w:val="00544B8C"/>
    <w:pPr>
      <w:jc w:val="center"/>
    </w:pPr>
  </w:style>
  <w:style w:type="paragraph" w:customStyle="1" w:styleId="ListBulletWhite">
    <w:name w:val="List Bullet (White)"/>
    <w:basedOn w:val="ListBullet"/>
    <w:uiPriority w:val="11"/>
    <w:qFormat/>
    <w:rsid w:val="00666F05"/>
    <w:pPr>
      <w:numPr>
        <w:numId w:val="24"/>
      </w:numPr>
      <w:ind w:left="216" w:hanging="216"/>
    </w:pPr>
    <w:rPr>
      <w:color w:val="FFFFFF" w:themeColor="background1"/>
    </w:rPr>
  </w:style>
  <w:style w:type="paragraph" w:customStyle="1" w:styleId="Heading1NoTOC">
    <w:name w:val="Heading 1 (No TOC)"/>
    <w:uiPriority w:val="1"/>
    <w:qFormat/>
    <w:rsid w:val="00666F05"/>
    <w:pPr>
      <w:keepNext/>
      <w:spacing w:before="360" w:after="0"/>
    </w:pPr>
    <w:rPr>
      <w:rFonts w:ascii="Roboto Light" w:hAnsi="Roboto Light"/>
      <w:color w:val="EA5F14" w:themeColor="accent2"/>
      <w:sz w:val="44"/>
      <w:szCs w:val="44"/>
    </w:rPr>
  </w:style>
  <w:style w:type="paragraph" w:customStyle="1" w:styleId="Heading2NoTOC">
    <w:name w:val="Heading 2 (No TOC)"/>
    <w:uiPriority w:val="1"/>
    <w:qFormat/>
    <w:rsid w:val="00666F05"/>
    <w:pPr>
      <w:keepNext/>
      <w:spacing w:before="160" w:after="0"/>
    </w:pPr>
    <w:rPr>
      <w:rFonts w:ascii="Roboto Light" w:hAnsi="Roboto Light"/>
      <w:color w:val="555555" w:themeColor="text1"/>
      <w:sz w:val="36"/>
      <w:szCs w:val="44"/>
    </w:rPr>
  </w:style>
  <w:style w:type="paragraph" w:customStyle="1" w:styleId="Heading3NoTOC">
    <w:name w:val="Heading 3 (No TOC)"/>
    <w:uiPriority w:val="1"/>
    <w:qFormat/>
    <w:rsid w:val="00666F05"/>
    <w:pPr>
      <w:spacing w:before="160" w:after="0"/>
    </w:pPr>
    <w:rPr>
      <w:color w:val="00ADD6"/>
      <w:sz w:val="32"/>
      <w:szCs w:val="32"/>
    </w:rPr>
  </w:style>
  <w:style w:type="character" w:customStyle="1" w:styleId="Heading4Char">
    <w:name w:val="Heading 4 Char"/>
    <w:basedOn w:val="DefaultParagraphFont"/>
    <w:link w:val="Heading4"/>
    <w:uiPriority w:val="1"/>
    <w:rsid w:val="00761FD5"/>
    <w:rPr>
      <w:rFonts w:eastAsiaTheme="majorEastAsia" w:cstheme="majorBidi"/>
      <w:b/>
      <w:iCs/>
      <w:color w:val="EA5F14" w:themeColor="accent2"/>
      <w:sz w:val="28"/>
    </w:rPr>
  </w:style>
  <w:style w:type="numbering" w:customStyle="1" w:styleId="AlphaList">
    <w:name w:val="Alpha List"/>
    <w:uiPriority w:val="99"/>
    <w:rsid w:val="003706FC"/>
    <w:pPr>
      <w:numPr>
        <w:numId w:val="26"/>
      </w:numPr>
    </w:pPr>
  </w:style>
  <w:style w:type="paragraph" w:styleId="NormalWeb">
    <w:name w:val="Normal (Web)"/>
    <w:basedOn w:val="Normal"/>
    <w:uiPriority w:val="99"/>
    <w:semiHidden/>
    <w:unhideWhenUsed/>
    <w:locked/>
    <w:rsid w:val="009A6B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9714002">
      <w:bodyDiv w:val="1"/>
      <w:marLeft w:val="0"/>
      <w:marRight w:val="0"/>
      <w:marTop w:val="0"/>
      <w:marBottom w:val="0"/>
      <w:divBdr>
        <w:top w:val="none" w:sz="0" w:space="0" w:color="auto"/>
        <w:left w:val="none" w:sz="0" w:space="0" w:color="auto"/>
        <w:bottom w:val="none" w:sz="0" w:space="0" w:color="auto"/>
        <w:right w:val="none" w:sz="0" w:space="0" w:color="auto"/>
      </w:divBdr>
    </w:div>
    <w:div w:id="502552625">
      <w:bodyDiv w:val="1"/>
      <w:marLeft w:val="0"/>
      <w:marRight w:val="0"/>
      <w:marTop w:val="0"/>
      <w:marBottom w:val="0"/>
      <w:divBdr>
        <w:top w:val="none" w:sz="0" w:space="0" w:color="auto"/>
        <w:left w:val="none" w:sz="0" w:space="0" w:color="auto"/>
        <w:bottom w:val="none" w:sz="0" w:space="0" w:color="auto"/>
        <w:right w:val="none" w:sz="0" w:space="0" w:color="auto"/>
      </w:divBdr>
      <w:divsChild>
        <w:div w:id="430779820">
          <w:marLeft w:val="0"/>
          <w:marRight w:val="0"/>
          <w:marTop w:val="0"/>
          <w:marBottom w:val="0"/>
          <w:divBdr>
            <w:top w:val="none" w:sz="0" w:space="0" w:color="auto"/>
            <w:left w:val="none" w:sz="0" w:space="0" w:color="auto"/>
            <w:bottom w:val="none" w:sz="0" w:space="0" w:color="auto"/>
            <w:right w:val="none" w:sz="0" w:space="0" w:color="auto"/>
          </w:divBdr>
        </w:div>
        <w:div w:id="676006867">
          <w:marLeft w:val="0"/>
          <w:marRight w:val="0"/>
          <w:marTop w:val="0"/>
          <w:marBottom w:val="0"/>
          <w:divBdr>
            <w:top w:val="none" w:sz="0" w:space="0" w:color="auto"/>
            <w:left w:val="none" w:sz="0" w:space="0" w:color="auto"/>
            <w:bottom w:val="none" w:sz="0" w:space="0" w:color="auto"/>
            <w:right w:val="none" w:sz="0" w:space="0" w:color="auto"/>
          </w:divBdr>
        </w:div>
        <w:div w:id="1009134906">
          <w:marLeft w:val="0"/>
          <w:marRight w:val="0"/>
          <w:marTop w:val="0"/>
          <w:marBottom w:val="0"/>
          <w:divBdr>
            <w:top w:val="none" w:sz="0" w:space="0" w:color="auto"/>
            <w:left w:val="none" w:sz="0" w:space="0" w:color="auto"/>
            <w:bottom w:val="none" w:sz="0" w:space="0" w:color="auto"/>
            <w:right w:val="none" w:sz="0" w:space="0" w:color="auto"/>
          </w:divBdr>
        </w:div>
        <w:div w:id="1249732453">
          <w:marLeft w:val="0"/>
          <w:marRight w:val="0"/>
          <w:marTop w:val="0"/>
          <w:marBottom w:val="0"/>
          <w:divBdr>
            <w:top w:val="none" w:sz="0" w:space="0" w:color="auto"/>
            <w:left w:val="none" w:sz="0" w:space="0" w:color="auto"/>
            <w:bottom w:val="none" w:sz="0" w:space="0" w:color="auto"/>
            <w:right w:val="none" w:sz="0" w:space="0" w:color="auto"/>
          </w:divBdr>
        </w:div>
      </w:divsChild>
    </w:div>
    <w:div w:id="588661867">
      <w:bodyDiv w:val="1"/>
      <w:marLeft w:val="0"/>
      <w:marRight w:val="0"/>
      <w:marTop w:val="0"/>
      <w:marBottom w:val="0"/>
      <w:divBdr>
        <w:top w:val="none" w:sz="0" w:space="0" w:color="auto"/>
        <w:left w:val="none" w:sz="0" w:space="0" w:color="auto"/>
        <w:bottom w:val="none" w:sz="0" w:space="0" w:color="auto"/>
        <w:right w:val="none" w:sz="0" w:space="0" w:color="auto"/>
      </w:divBdr>
      <w:divsChild>
        <w:div w:id="448738734">
          <w:marLeft w:val="0"/>
          <w:marRight w:val="0"/>
          <w:marTop w:val="0"/>
          <w:marBottom w:val="0"/>
          <w:divBdr>
            <w:top w:val="none" w:sz="0" w:space="0" w:color="auto"/>
            <w:left w:val="none" w:sz="0" w:space="0" w:color="auto"/>
            <w:bottom w:val="none" w:sz="0" w:space="0" w:color="auto"/>
            <w:right w:val="none" w:sz="0" w:space="0" w:color="auto"/>
          </w:divBdr>
        </w:div>
        <w:div w:id="766727485">
          <w:marLeft w:val="0"/>
          <w:marRight w:val="0"/>
          <w:marTop w:val="0"/>
          <w:marBottom w:val="0"/>
          <w:divBdr>
            <w:top w:val="none" w:sz="0" w:space="0" w:color="auto"/>
            <w:left w:val="none" w:sz="0" w:space="0" w:color="auto"/>
            <w:bottom w:val="none" w:sz="0" w:space="0" w:color="auto"/>
            <w:right w:val="none" w:sz="0" w:space="0" w:color="auto"/>
          </w:divBdr>
        </w:div>
        <w:div w:id="1666202873">
          <w:marLeft w:val="0"/>
          <w:marRight w:val="0"/>
          <w:marTop w:val="0"/>
          <w:marBottom w:val="0"/>
          <w:divBdr>
            <w:top w:val="none" w:sz="0" w:space="0" w:color="auto"/>
            <w:left w:val="none" w:sz="0" w:space="0" w:color="auto"/>
            <w:bottom w:val="none" w:sz="0" w:space="0" w:color="auto"/>
            <w:right w:val="none" w:sz="0" w:space="0" w:color="auto"/>
          </w:divBdr>
        </w:div>
        <w:div w:id="1761876801">
          <w:marLeft w:val="0"/>
          <w:marRight w:val="0"/>
          <w:marTop w:val="0"/>
          <w:marBottom w:val="0"/>
          <w:divBdr>
            <w:top w:val="none" w:sz="0" w:space="0" w:color="auto"/>
            <w:left w:val="none" w:sz="0" w:space="0" w:color="auto"/>
            <w:bottom w:val="none" w:sz="0" w:space="0" w:color="auto"/>
            <w:right w:val="none" w:sz="0" w:space="0" w:color="auto"/>
          </w:divBdr>
        </w:div>
      </w:divsChild>
    </w:div>
    <w:div w:id="629362406">
      <w:bodyDiv w:val="1"/>
      <w:marLeft w:val="0"/>
      <w:marRight w:val="0"/>
      <w:marTop w:val="0"/>
      <w:marBottom w:val="0"/>
      <w:divBdr>
        <w:top w:val="none" w:sz="0" w:space="0" w:color="auto"/>
        <w:left w:val="none" w:sz="0" w:space="0" w:color="auto"/>
        <w:bottom w:val="none" w:sz="0" w:space="0" w:color="auto"/>
        <w:right w:val="none" w:sz="0" w:space="0" w:color="auto"/>
      </w:divBdr>
    </w:div>
    <w:div w:id="814372146">
      <w:bodyDiv w:val="1"/>
      <w:marLeft w:val="0"/>
      <w:marRight w:val="0"/>
      <w:marTop w:val="0"/>
      <w:marBottom w:val="0"/>
      <w:divBdr>
        <w:top w:val="none" w:sz="0" w:space="0" w:color="auto"/>
        <w:left w:val="none" w:sz="0" w:space="0" w:color="auto"/>
        <w:bottom w:val="none" w:sz="0" w:space="0" w:color="auto"/>
        <w:right w:val="none" w:sz="0" w:space="0" w:color="auto"/>
      </w:divBdr>
    </w:div>
    <w:div w:id="925579842">
      <w:bodyDiv w:val="1"/>
      <w:marLeft w:val="0"/>
      <w:marRight w:val="0"/>
      <w:marTop w:val="0"/>
      <w:marBottom w:val="0"/>
      <w:divBdr>
        <w:top w:val="none" w:sz="0" w:space="0" w:color="auto"/>
        <w:left w:val="none" w:sz="0" w:space="0" w:color="auto"/>
        <w:bottom w:val="none" w:sz="0" w:space="0" w:color="auto"/>
        <w:right w:val="none" w:sz="0" w:space="0" w:color="auto"/>
      </w:divBdr>
    </w:div>
    <w:div w:id="979727306">
      <w:bodyDiv w:val="1"/>
      <w:marLeft w:val="0"/>
      <w:marRight w:val="0"/>
      <w:marTop w:val="0"/>
      <w:marBottom w:val="0"/>
      <w:divBdr>
        <w:top w:val="none" w:sz="0" w:space="0" w:color="auto"/>
        <w:left w:val="none" w:sz="0" w:space="0" w:color="auto"/>
        <w:bottom w:val="none" w:sz="0" w:space="0" w:color="auto"/>
        <w:right w:val="none" w:sz="0" w:space="0" w:color="auto"/>
      </w:divBdr>
      <w:divsChild>
        <w:div w:id="950210517">
          <w:marLeft w:val="0"/>
          <w:marRight w:val="0"/>
          <w:marTop w:val="0"/>
          <w:marBottom w:val="0"/>
          <w:divBdr>
            <w:top w:val="none" w:sz="0" w:space="0" w:color="auto"/>
            <w:left w:val="none" w:sz="0" w:space="0" w:color="auto"/>
            <w:bottom w:val="none" w:sz="0" w:space="0" w:color="auto"/>
            <w:right w:val="none" w:sz="0" w:space="0" w:color="auto"/>
          </w:divBdr>
        </w:div>
        <w:div w:id="1653828093">
          <w:marLeft w:val="0"/>
          <w:marRight w:val="0"/>
          <w:marTop w:val="0"/>
          <w:marBottom w:val="0"/>
          <w:divBdr>
            <w:top w:val="none" w:sz="0" w:space="0" w:color="auto"/>
            <w:left w:val="none" w:sz="0" w:space="0" w:color="auto"/>
            <w:bottom w:val="none" w:sz="0" w:space="0" w:color="auto"/>
            <w:right w:val="none" w:sz="0" w:space="0" w:color="auto"/>
          </w:divBdr>
        </w:div>
        <w:div w:id="1897816599">
          <w:marLeft w:val="0"/>
          <w:marRight w:val="0"/>
          <w:marTop w:val="0"/>
          <w:marBottom w:val="0"/>
          <w:divBdr>
            <w:top w:val="none" w:sz="0" w:space="0" w:color="auto"/>
            <w:left w:val="none" w:sz="0" w:space="0" w:color="auto"/>
            <w:bottom w:val="none" w:sz="0" w:space="0" w:color="auto"/>
            <w:right w:val="none" w:sz="0" w:space="0" w:color="auto"/>
          </w:divBdr>
        </w:div>
        <w:div w:id="1968702156">
          <w:marLeft w:val="0"/>
          <w:marRight w:val="0"/>
          <w:marTop w:val="0"/>
          <w:marBottom w:val="0"/>
          <w:divBdr>
            <w:top w:val="none" w:sz="0" w:space="0" w:color="auto"/>
            <w:left w:val="none" w:sz="0" w:space="0" w:color="auto"/>
            <w:bottom w:val="none" w:sz="0" w:space="0" w:color="auto"/>
            <w:right w:val="none" w:sz="0" w:space="0" w:color="auto"/>
          </w:divBdr>
        </w:div>
      </w:divsChild>
    </w:div>
    <w:div w:id="1216117811">
      <w:bodyDiv w:val="1"/>
      <w:marLeft w:val="0"/>
      <w:marRight w:val="0"/>
      <w:marTop w:val="0"/>
      <w:marBottom w:val="0"/>
      <w:divBdr>
        <w:top w:val="none" w:sz="0" w:space="0" w:color="auto"/>
        <w:left w:val="none" w:sz="0" w:space="0" w:color="auto"/>
        <w:bottom w:val="none" w:sz="0" w:space="0" w:color="auto"/>
        <w:right w:val="none" w:sz="0" w:space="0" w:color="auto"/>
      </w:divBdr>
      <w:divsChild>
        <w:div w:id="830560968">
          <w:marLeft w:val="0"/>
          <w:marRight w:val="0"/>
          <w:marTop w:val="0"/>
          <w:marBottom w:val="0"/>
          <w:divBdr>
            <w:top w:val="none" w:sz="0" w:space="0" w:color="auto"/>
            <w:left w:val="none" w:sz="0" w:space="0" w:color="auto"/>
            <w:bottom w:val="none" w:sz="0" w:space="0" w:color="auto"/>
            <w:right w:val="none" w:sz="0" w:space="0" w:color="auto"/>
          </w:divBdr>
        </w:div>
        <w:div w:id="1110247990">
          <w:marLeft w:val="0"/>
          <w:marRight w:val="0"/>
          <w:marTop w:val="0"/>
          <w:marBottom w:val="0"/>
          <w:divBdr>
            <w:top w:val="none" w:sz="0" w:space="0" w:color="auto"/>
            <w:left w:val="none" w:sz="0" w:space="0" w:color="auto"/>
            <w:bottom w:val="none" w:sz="0" w:space="0" w:color="auto"/>
            <w:right w:val="none" w:sz="0" w:space="0" w:color="auto"/>
          </w:divBdr>
        </w:div>
        <w:div w:id="1204173473">
          <w:marLeft w:val="0"/>
          <w:marRight w:val="0"/>
          <w:marTop w:val="0"/>
          <w:marBottom w:val="0"/>
          <w:divBdr>
            <w:top w:val="none" w:sz="0" w:space="0" w:color="auto"/>
            <w:left w:val="none" w:sz="0" w:space="0" w:color="auto"/>
            <w:bottom w:val="none" w:sz="0" w:space="0" w:color="auto"/>
            <w:right w:val="none" w:sz="0" w:space="0" w:color="auto"/>
          </w:divBdr>
        </w:div>
        <w:div w:id="1209150299">
          <w:marLeft w:val="0"/>
          <w:marRight w:val="0"/>
          <w:marTop w:val="0"/>
          <w:marBottom w:val="0"/>
          <w:divBdr>
            <w:top w:val="none" w:sz="0" w:space="0" w:color="auto"/>
            <w:left w:val="none" w:sz="0" w:space="0" w:color="auto"/>
            <w:bottom w:val="none" w:sz="0" w:space="0" w:color="auto"/>
            <w:right w:val="none" w:sz="0" w:space="0" w:color="auto"/>
          </w:divBdr>
        </w:div>
      </w:divsChild>
    </w:div>
    <w:div w:id="1355109450">
      <w:bodyDiv w:val="1"/>
      <w:marLeft w:val="0"/>
      <w:marRight w:val="0"/>
      <w:marTop w:val="0"/>
      <w:marBottom w:val="0"/>
      <w:divBdr>
        <w:top w:val="none" w:sz="0" w:space="0" w:color="auto"/>
        <w:left w:val="none" w:sz="0" w:space="0" w:color="auto"/>
        <w:bottom w:val="none" w:sz="0" w:space="0" w:color="auto"/>
        <w:right w:val="none" w:sz="0" w:space="0" w:color="auto"/>
      </w:divBdr>
    </w:div>
    <w:div w:id="1492525125">
      <w:bodyDiv w:val="1"/>
      <w:marLeft w:val="0"/>
      <w:marRight w:val="0"/>
      <w:marTop w:val="0"/>
      <w:marBottom w:val="0"/>
      <w:divBdr>
        <w:top w:val="none" w:sz="0" w:space="0" w:color="auto"/>
        <w:left w:val="none" w:sz="0" w:space="0" w:color="auto"/>
        <w:bottom w:val="none" w:sz="0" w:space="0" w:color="auto"/>
        <w:right w:val="none" w:sz="0" w:space="0" w:color="auto"/>
      </w:divBdr>
      <w:divsChild>
        <w:div w:id="329338451">
          <w:marLeft w:val="0"/>
          <w:marRight w:val="0"/>
          <w:marTop w:val="0"/>
          <w:marBottom w:val="0"/>
          <w:divBdr>
            <w:top w:val="none" w:sz="0" w:space="0" w:color="auto"/>
            <w:left w:val="none" w:sz="0" w:space="0" w:color="auto"/>
            <w:bottom w:val="none" w:sz="0" w:space="0" w:color="auto"/>
            <w:right w:val="none" w:sz="0" w:space="0" w:color="auto"/>
          </w:divBdr>
        </w:div>
        <w:div w:id="1210413917">
          <w:marLeft w:val="0"/>
          <w:marRight w:val="0"/>
          <w:marTop w:val="0"/>
          <w:marBottom w:val="0"/>
          <w:divBdr>
            <w:top w:val="none" w:sz="0" w:space="0" w:color="auto"/>
            <w:left w:val="none" w:sz="0" w:space="0" w:color="auto"/>
            <w:bottom w:val="none" w:sz="0" w:space="0" w:color="auto"/>
            <w:right w:val="none" w:sz="0" w:space="0" w:color="auto"/>
          </w:divBdr>
        </w:div>
        <w:div w:id="1700155566">
          <w:marLeft w:val="0"/>
          <w:marRight w:val="0"/>
          <w:marTop w:val="0"/>
          <w:marBottom w:val="0"/>
          <w:divBdr>
            <w:top w:val="none" w:sz="0" w:space="0" w:color="auto"/>
            <w:left w:val="none" w:sz="0" w:space="0" w:color="auto"/>
            <w:bottom w:val="none" w:sz="0" w:space="0" w:color="auto"/>
            <w:right w:val="none" w:sz="0" w:space="0" w:color="auto"/>
          </w:divBdr>
        </w:div>
      </w:divsChild>
    </w:div>
    <w:div w:id="1495872757">
      <w:bodyDiv w:val="1"/>
      <w:marLeft w:val="0"/>
      <w:marRight w:val="0"/>
      <w:marTop w:val="0"/>
      <w:marBottom w:val="0"/>
      <w:divBdr>
        <w:top w:val="none" w:sz="0" w:space="0" w:color="auto"/>
        <w:left w:val="none" w:sz="0" w:space="0" w:color="auto"/>
        <w:bottom w:val="none" w:sz="0" w:space="0" w:color="auto"/>
        <w:right w:val="none" w:sz="0" w:space="0" w:color="auto"/>
      </w:divBdr>
    </w:div>
    <w:div w:id="1880311939">
      <w:bodyDiv w:val="1"/>
      <w:marLeft w:val="0"/>
      <w:marRight w:val="0"/>
      <w:marTop w:val="0"/>
      <w:marBottom w:val="0"/>
      <w:divBdr>
        <w:top w:val="none" w:sz="0" w:space="0" w:color="auto"/>
        <w:left w:val="none" w:sz="0" w:space="0" w:color="auto"/>
        <w:bottom w:val="none" w:sz="0" w:space="0" w:color="auto"/>
        <w:right w:val="none" w:sz="0" w:space="0" w:color="auto"/>
      </w:divBdr>
    </w:div>
    <w:div w:id="1917397220">
      <w:bodyDiv w:val="1"/>
      <w:marLeft w:val="0"/>
      <w:marRight w:val="0"/>
      <w:marTop w:val="0"/>
      <w:marBottom w:val="0"/>
      <w:divBdr>
        <w:top w:val="none" w:sz="0" w:space="0" w:color="auto"/>
        <w:left w:val="none" w:sz="0" w:space="0" w:color="auto"/>
        <w:bottom w:val="none" w:sz="0" w:space="0" w:color="auto"/>
        <w:right w:val="none" w:sz="0" w:space="0" w:color="auto"/>
      </w:divBdr>
    </w:div>
    <w:div w:id="2073572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h.wa.gov/data-and-statistical-reports/washington-tracking-network-wtn/washington-environmental-health-disparities-map" TargetMode="External"/><Relationship Id="rId18" Type="http://schemas.openxmlformats.org/officeDocument/2006/relationships/footer" Target="footer1.xml"/><Relationship Id="rId26" Type="http://schemas.openxmlformats.org/officeDocument/2006/relationships/hyperlink" Target="https://app.leg.wa.gov/rcw/default.aspx?cite=80.04.010" TargetMode="External"/><Relationship Id="rId39" Type="http://schemas.openxmlformats.org/officeDocument/2006/relationships/hyperlink" Target="http://app.leg.wa.gov/RCW/default.aspx?cite=19.405.020" TargetMode="External"/><Relationship Id="rId21" Type="http://schemas.openxmlformats.org/officeDocument/2006/relationships/hyperlink" Target="http://app.leg.wa.gov/RCW/default.aspx?cite=35" TargetMode="External"/><Relationship Id="rId34" Type="http://schemas.openxmlformats.org/officeDocument/2006/relationships/hyperlink" Target="https://www.commerce.wa.gov/growing-the-economy/energy/ceta-energy-assistance-2/" TargetMode="External"/><Relationship Id="rId42" Type="http://schemas.openxmlformats.org/officeDocument/2006/relationships/hyperlink" Target="https://app.leg.wa.gov/rcw/default.aspx?cite=80.28.068" TargetMode="External"/><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austin.scharff@commerce.wa.gov" TargetMode="External"/><Relationship Id="rId29" Type="http://schemas.openxmlformats.org/officeDocument/2006/relationships/hyperlink" Target="https://app.leg.wa.gov/WAC/default.aspx?cite=194-40-030" TargetMode="External"/><Relationship Id="rId11" Type="http://schemas.openxmlformats.org/officeDocument/2006/relationships/endnotes" Target="endnotes.xml"/><Relationship Id="rId24" Type="http://schemas.openxmlformats.org/officeDocument/2006/relationships/hyperlink" Target="http://app.leg.wa.gov/RCW/default.aspx?cite=23.86" TargetMode="External"/><Relationship Id="rId32" Type="http://schemas.openxmlformats.org/officeDocument/2006/relationships/hyperlink" Target="https://www.energy.gov/eere/slsc/maps/lead-tool" TargetMode="External"/><Relationship Id="rId37" Type="http://schemas.openxmlformats.org/officeDocument/2006/relationships/hyperlink" Target="https://app.leg.wa.gov/billsummary?BillNumber=5295&amp;Initiative=false&amp;Year=2021" TargetMode="External"/><Relationship Id="rId40" Type="http://schemas.openxmlformats.org/officeDocument/2006/relationships/hyperlink" Target="https://app.leg.wa.gov/rcw/default.aspx?cite=80.28.425" TargetMode="External"/><Relationship Id="rId45" Type="http://schemas.openxmlformats.org/officeDocument/2006/relationships/hyperlink" Target="https://app.leg.wa.gov/billsummary?BillNumber=5295&amp;Initiative=false&amp;Year=2021" TargetMode="External"/><Relationship Id="rId5" Type="http://schemas.openxmlformats.org/officeDocument/2006/relationships/customXml" Target="../customXml/item5.xml"/><Relationship Id="rId15" Type="http://schemas.openxmlformats.org/officeDocument/2006/relationships/hyperlink" Target="https://www.commerce.wa.gov/growing-the-economy/energy/ceta-energy-assistance-2/" TargetMode="External"/><Relationship Id="rId23" Type="http://schemas.openxmlformats.org/officeDocument/2006/relationships/hyperlink" Target="http://app.leg.wa.gov/RCW/default.aspx?cite=87.03" TargetMode="External"/><Relationship Id="rId28" Type="http://schemas.openxmlformats.org/officeDocument/2006/relationships/hyperlink" Target="https://apps.leg.wa.gov/wac/default.aspx?cite=480-100-605" TargetMode="External"/><Relationship Id="rId36" Type="http://schemas.openxmlformats.org/officeDocument/2006/relationships/hyperlink" Target="https://www.commerce.wa.gov/growing-the-economy/energy/ceta-energy-assistance-2/" TargetMode="Externa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app.leg.wa.gov/RCW/default.aspx?cite=19.405.120" TargetMode="External"/><Relationship Id="rId31" Type="http://schemas.openxmlformats.org/officeDocument/2006/relationships/hyperlink" Target="https://www.commerce.wa.gov/growing-the-economy/energy/ceta-energy-assistance-2/" TargetMode="External"/><Relationship Id="rId44" Type="http://schemas.openxmlformats.org/officeDocument/2006/relationships/hyperlink" Target="https://app.leg.wa.gov/RCW/default.aspx?cite=80.28.06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ommerce.wa.gov/growing-the-economy/energy/ceta-energy-assistance-2/" TargetMode="External"/><Relationship Id="rId22" Type="http://schemas.openxmlformats.org/officeDocument/2006/relationships/hyperlink" Target="http://app.leg.wa.gov/RCW/default.aspx?cite=54" TargetMode="External"/><Relationship Id="rId27" Type="http://schemas.openxmlformats.org/officeDocument/2006/relationships/hyperlink" Target="https://app.leg.wa.gov/WAC/default.aspx?cite=194-40-030" TargetMode="External"/><Relationship Id="rId30" Type="http://schemas.openxmlformats.org/officeDocument/2006/relationships/hyperlink" Target="https://app.leg.wa.gov/RCW/default.aspx?cite=19.405.120" TargetMode="External"/><Relationship Id="rId35" Type="http://schemas.openxmlformats.org/officeDocument/2006/relationships/hyperlink" Target="https://app.leg.wa.gov/RCW/default.aspx?cite=19.405.120" TargetMode="External"/><Relationship Id="rId43" Type="http://schemas.openxmlformats.org/officeDocument/2006/relationships/hyperlink" Target="https://app.leg.wa.gov/RCW/default.aspx?cite=80.28.068" TargetMode="External"/><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app.leg.wa.gov/RCW/default.aspx?cite=19.405.120" TargetMode="External"/><Relationship Id="rId17" Type="http://schemas.openxmlformats.org/officeDocument/2006/relationships/header" Target="header1.xml"/><Relationship Id="rId25" Type="http://schemas.openxmlformats.org/officeDocument/2006/relationships/hyperlink" Target="http://app.leg.wa.gov/RCW/default.aspx?cite=24.06" TargetMode="External"/><Relationship Id="rId33" Type="http://schemas.openxmlformats.org/officeDocument/2006/relationships/hyperlink" Target="https://app.leg.wa.gov/RCW/default.aspx?cite=19.405.120" TargetMode="External"/><Relationship Id="rId38" Type="http://schemas.openxmlformats.org/officeDocument/2006/relationships/hyperlink" Target="https://app.leg.wa.gov/rcw/default.aspx?cite=80.28.068" TargetMode="External"/><Relationship Id="rId46" Type="http://schemas.openxmlformats.org/officeDocument/2006/relationships/hyperlink" Target="https://app.leg.wa.gov/rcw/default.aspx?cite=80.28.068" TargetMode="External"/><Relationship Id="rId20" Type="http://schemas.openxmlformats.org/officeDocument/2006/relationships/hyperlink" Target="https://app.leg.wa.gov/RCW/default.aspx?cite=19.405.020" TargetMode="External"/><Relationship Id="rId41" Type="http://schemas.openxmlformats.org/officeDocument/2006/relationships/hyperlink" Target="https://app.leg.wa.gov/rcw/default.aspx?cite=74.38.070"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app.leg.wa.gov/RCW/default.aspx?cite=19.405.020" TargetMode="External"/><Relationship Id="rId2" Type="http://schemas.openxmlformats.org/officeDocument/2006/relationships/hyperlink" Target="https://app.leg.wa.gov/rcw/default.aspx?cite=74.38.070" TargetMode="External"/><Relationship Id="rId1" Type="http://schemas.openxmlformats.org/officeDocument/2006/relationships/hyperlink" Target="https://app.leg.wa.gov/rcw/default.aspx?cite=74.38.070" TargetMode="External"/><Relationship Id="rId5" Type="http://schemas.openxmlformats.org/officeDocument/2006/relationships/hyperlink" Target="https://app.leg.wa.gov/rcw/default.aspx?cite=80.28.068" TargetMode="External"/><Relationship Id="rId4" Type="http://schemas.openxmlformats.org/officeDocument/2006/relationships/hyperlink" Target="https://app.leg.wa.gov/RCW/default.aspx?cite=19.405.120"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ommerce Primary">
      <a:dk1>
        <a:srgbClr val="555555"/>
      </a:dk1>
      <a:lt1>
        <a:srgbClr val="FFFFFF"/>
      </a:lt1>
      <a:dk2>
        <a:srgbClr val="555555"/>
      </a:dk2>
      <a:lt2>
        <a:srgbClr val="E6E6E6"/>
      </a:lt2>
      <a:accent1>
        <a:srgbClr val="00BCE8"/>
      </a:accent1>
      <a:accent2>
        <a:srgbClr val="EA5F14"/>
      </a:accent2>
      <a:accent3>
        <a:srgbClr val="BBCE00"/>
      </a:accent3>
      <a:accent4>
        <a:srgbClr val="9B0059"/>
      </a:accent4>
      <a:accent5>
        <a:srgbClr val="6E767D"/>
      </a:accent5>
      <a:accent6>
        <a:srgbClr val="0A82A0"/>
      </a:accent6>
      <a:hlink>
        <a:srgbClr val="0A82A0"/>
      </a:hlink>
      <a:folHlink>
        <a:srgbClr val="6E76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D71C27E2452B74CA42ED7A2CE6E6A9D" ma:contentTypeVersion="1" ma:contentTypeDescription="Create a new document." ma:contentTypeScope="" ma:versionID="0642b20c1ce541081b05f205aac1b47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ReportTitle</b:Tag>
    <b:RefOrder>1</b:RefOrder>
  </b:Source>
  <b:Source xmlns:b="http://schemas.openxmlformats.org/officeDocument/2006/bibliography" xmlns="http://schemas.openxmlformats.org/officeDocument/2006/bibliography">
    <b:Tag>Placeholder1</b:Tag>
    <b:RefOrder>2</b:RefOrder>
  </b:Source>
  <b:Source xmlns:b="http://schemas.openxmlformats.org/officeDocument/2006/bibliography" xmlns="http://schemas.openxmlformats.org/officeDocument/2006/bibliography">
    <b:Tag>Date</b:Tag>
    <b:RefOrder>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A1DB0D-0D76-4393-93B6-491AD6D5DD53}">
  <ds:schemaRefs>
    <ds:schemaRef ds:uri="http://schemas.microsoft.com/sharepoint/v3/contenttype/forms"/>
  </ds:schemaRefs>
</ds:datastoreItem>
</file>

<file path=customXml/itemProps3.xml><?xml version="1.0" encoding="utf-8"?>
<ds:datastoreItem xmlns:ds="http://schemas.openxmlformats.org/officeDocument/2006/customXml" ds:itemID="{270FAD07-30ED-42AC-B428-094D45287B20}">
  <ds:schemaRefs>
    <ds:schemaRef ds:uri="http://purl.org/dc/dcmitype/"/>
    <ds:schemaRef ds:uri="http://www.w3.org/XML/1998/namespace"/>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schemas.microsoft.com/sharepoint/v3"/>
    <ds:schemaRef ds:uri="http://purl.org/dc/terms/"/>
    <ds:schemaRef ds:uri="http://purl.org/dc/elements/1.1/"/>
  </ds:schemaRefs>
</ds:datastoreItem>
</file>

<file path=customXml/itemProps4.xml><?xml version="1.0" encoding="utf-8"?>
<ds:datastoreItem xmlns:ds="http://schemas.openxmlformats.org/officeDocument/2006/customXml" ds:itemID="{D4AD2601-A824-497D-9081-672A71118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489DD8-1FCF-4A1D-BDD8-F22F3250D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TotalTime>
  <Pages>22</Pages>
  <Words>7826</Words>
  <Characters>43518</Characters>
  <Application>Microsoft Office Word</Application>
  <DocSecurity>0</DocSecurity>
  <Lines>1740</Lines>
  <Paragraphs>1770</Paragraphs>
  <ScaleCrop>false</ScaleCrop>
  <HeadingPairs>
    <vt:vector size="2" baseType="variant">
      <vt:variant>
        <vt:lpstr>Title</vt:lpstr>
      </vt:variant>
      <vt:variant>
        <vt:i4>1</vt:i4>
      </vt:variant>
    </vt:vector>
  </HeadingPairs>
  <TitlesOfParts>
    <vt:vector size="1" baseType="lpstr">
      <vt:lpstr>Legistlative Report v3.0</vt:lpstr>
    </vt:vector>
  </TitlesOfParts>
  <Company>Washington State Department of Commerce</Company>
  <LinksUpToDate>false</LinksUpToDate>
  <CharactersWithSpaces>49574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Legistlative Report v3.0</dc:title>
  <dc:subject>ghjg</dc:subject>
  <dc:creator>Dept of Commerce</dc:creator>
  <cp:keywords>Commerce, Department of Commerce, WA, Dept. of Commerce, WA, Washington state, Strengthening communities, community, help</cp:keywords>
  <dc:description/>
  <cp:lastModifiedBy>Austin Scharff</cp:lastModifiedBy>
  <cp:revision>5</cp:revision>
  <cp:lastPrinted>2019-05-28T17:23:00Z</cp:lastPrinted>
  <dcterms:created xsi:type="dcterms:W3CDTF">2022-08-26T04:22:00Z</dcterms:created>
  <dcterms:modified xsi:type="dcterms:W3CDTF">2022-08-30T18:25:00Z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0x010100FD71C27E2452B74CA42ED7A2CE6E6A9D</vt:lpwstr>
  </property>
</Properties>
</file>