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1D" w:rsidRPr="003E2BB3" w:rsidRDefault="00A60D1D" w:rsidP="00A60D1D">
      <w:pPr>
        <w:jc w:val="center"/>
        <w:rPr>
          <w:rFonts w:ascii="Arial" w:hAnsi="Arial" w:cs="Arial"/>
          <w:b/>
          <w:sz w:val="22"/>
          <w:szCs w:val="22"/>
        </w:rPr>
      </w:pPr>
      <w:r w:rsidRPr="003E2BB3">
        <w:rPr>
          <w:rFonts w:ascii="Arial" w:hAnsi="Arial" w:cs="Arial"/>
          <w:b/>
          <w:sz w:val="22"/>
          <w:szCs w:val="22"/>
        </w:rPr>
        <w:t xml:space="preserve">Utility Integrated Resource Plan </w:t>
      </w:r>
    </w:p>
    <w:p w:rsidR="00A60D1D" w:rsidRPr="003E2BB3" w:rsidRDefault="00A60D1D" w:rsidP="00A60D1D">
      <w:pPr>
        <w:jc w:val="center"/>
        <w:rPr>
          <w:rFonts w:ascii="Arial" w:hAnsi="Arial" w:cs="Arial"/>
          <w:b/>
          <w:sz w:val="22"/>
          <w:szCs w:val="22"/>
        </w:rPr>
      </w:pPr>
      <w:r w:rsidRPr="003E2BB3">
        <w:rPr>
          <w:rFonts w:ascii="Arial" w:hAnsi="Arial" w:cs="Arial"/>
          <w:b/>
          <w:sz w:val="22"/>
          <w:szCs w:val="22"/>
        </w:rPr>
        <w:t>Cover Sheet Instructions</w:t>
      </w:r>
    </w:p>
    <w:p w:rsidR="00A60D1D" w:rsidRPr="003E2BB3" w:rsidRDefault="00AA221F" w:rsidP="00A60D1D">
      <w:pPr>
        <w:jc w:val="center"/>
        <w:rPr>
          <w:rFonts w:ascii="Arial" w:hAnsi="Arial" w:cs="Arial"/>
          <w:b/>
          <w:color w:val="FF0000"/>
          <w:sz w:val="22"/>
          <w:szCs w:val="22"/>
        </w:rPr>
      </w:pPr>
      <w:r>
        <w:rPr>
          <w:rFonts w:ascii="Arial" w:hAnsi="Arial" w:cs="Arial"/>
          <w:b/>
          <w:color w:val="FF0000"/>
          <w:sz w:val="22"/>
          <w:szCs w:val="22"/>
        </w:rPr>
        <w:t>Due September 2</w:t>
      </w:r>
      <w:r w:rsidR="00F32274">
        <w:rPr>
          <w:rFonts w:ascii="Arial" w:hAnsi="Arial" w:cs="Arial"/>
          <w:b/>
          <w:color w:val="FF0000"/>
          <w:sz w:val="22"/>
          <w:szCs w:val="22"/>
        </w:rPr>
        <w:t>, 2022</w:t>
      </w:r>
    </w:p>
    <w:p w:rsidR="00241854" w:rsidRPr="003E2BB3" w:rsidRDefault="00750899" w:rsidP="00A60D1D">
      <w:pPr>
        <w:jc w:val="center"/>
        <w:rPr>
          <w:rFonts w:ascii="Arial" w:hAnsi="Arial" w:cs="Arial"/>
          <w:b/>
          <w:sz w:val="22"/>
          <w:szCs w:val="22"/>
        </w:rPr>
      </w:pPr>
      <w:r w:rsidRPr="003E2BB3">
        <w:rPr>
          <w:rFonts w:ascii="Arial" w:hAnsi="Arial" w:cs="Arial"/>
          <w:b/>
          <w:sz w:val="22"/>
          <w:szCs w:val="22"/>
        </w:rPr>
        <w:t xml:space="preserve">Dated </w:t>
      </w:r>
      <w:r w:rsidR="00576FE3">
        <w:rPr>
          <w:rFonts w:ascii="Arial" w:hAnsi="Arial" w:cs="Arial"/>
          <w:b/>
          <w:sz w:val="22"/>
          <w:szCs w:val="22"/>
        </w:rPr>
        <w:t>July 7</w:t>
      </w:r>
      <w:r w:rsidR="00B777EA">
        <w:rPr>
          <w:rFonts w:ascii="Arial" w:hAnsi="Arial" w:cs="Arial"/>
          <w:b/>
          <w:sz w:val="22"/>
          <w:szCs w:val="22"/>
        </w:rPr>
        <w:t>, 2022</w:t>
      </w:r>
      <w:bookmarkStart w:id="0" w:name="_GoBack"/>
      <w:bookmarkEnd w:id="0"/>
    </w:p>
    <w:p w:rsidR="00C73565" w:rsidRPr="003E2BB3" w:rsidRDefault="00C73565" w:rsidP="00C73565">
      <w:pPr>
        <w:pStyle w:val="Heading1"/>
        <w:spacing w:before="0" w:after="0"/>
        <w:jc w:val="center"/>
        <w:rPr>
          <w:sz w:val="22"/>
          <w:szCs w:val="22"/>
        </w:rPr>
      </w:pPr>
    </w:p>
    <w:p w:rsidR="00A60D1D" w:rsidRPr="003E2BB3" w:rsidRDefault="00A60D1D" w:rsidP="00A60D1D">
      <w:pPr>
        <w:pStyle w:val="Heading3"/>
        <w:spacing w:before="0" w:after="0"/>
        <w:rPr>
          <w:color w:val="000000"/>
          <w:sz w:val="22"/>
          <w:szCs w:val="22"/>
        </w:rPr>
      </w:pPr>
      <w:r w:rsidRPr="003E2BB3">
        <w:rPr>
          <w:color w:val="000000"/>
          <w:sz w:val="22"/>
          <w:szCs w:val="22"/>
        </w:rPr>
        <w:t xml:space="preserve">Washington State Utility Resource Plans, 19.280 RCW (2006 House Bill 1010) </w:t>
      </w:r>
    </w:p>
    <w:p w:rsidR="00A60D1D" w:rsidRPr="003E2BB3" w:rsidRDefault="00A60D1D" w:rsidP="00A60D1D">
      <w:pPr>
        <w:rPr>
          <w:rFonts w:ascii="Arial" w:hAnsi="Arial" w:cs="Arial"/>
          <w:sz w:val="22"/>
          <w:szCs w:val="22"/>
        </w:rPr>
      </w:pPr>
    </w:p>
    <w:p w:rsidR="00A60D1D" w:rsidRPr="003E2BB3" w:rsidRDefault="00A60D1D" w:rsidP="00A60D1D">
      <w:pPr>
        <w:rPr>
          <w:rFonts w:ascii="Arial" w:hAnsi="Arial" w:cs="Arial"/>
          <w:sz w:val="22"/>
          <w:szCs w:val="22"/>
        </w:rPr>
      </w:pPr>
      <w:r w:rsidRPr="003E2BB3">
        <w:rPr>
          <w:rFonts w:ascii="Arial" w:hAnsi="Arial" w:cs="Arial"/>
          <w:sz w:val="22"/>
          <w:szCs w:val="22"/>
        </w:rPr>
        <w:t xml:space="preserve">Utility Resource Plans including, at a minimum, the attached </w:t>
      </w:r>
      <w:r w:rsidR="00354725" w:rsidRPr="003E2BB3">
        <w:rPr>
          <w:rFonts w:ascii="Arial" w:hAnsi="Arial" w:cs="Arial"/>
          <w:sz w:val="22"/>
          <w:szCs w:val="22"/>
        </w:rPr>
        <w:t>c</w:t>
      </w:r>
      <w:r w:rsidRPr="003E2BB3">
        <w:rPr>
          <w:rFonts w:ascii="Arial" w:hAnsi="Arial" w:cs="Arial"/>
          <w:sz w:val="22"/>
          <w:szCs w:val="22"/>
        </w:rPr>
        <w:t xml:space="preserve">over </w:t>
      </w:r>
      <w:r w:rsidR="00354725" w:rsidRPr="003E2BB3">
        <w:rPr>
          <w:rFonts w:ascii="Arial" w:hAnsi="Arial" w:cs="Arial"/>
          <w:sz w:val="22"/>
          <w:szCs w:val="22"/>
        </w:rPr>
        <w:t>s</w:t>
      </w:r>
      <w:r w:rsidRPr="003E2BB3">
        <w:rPr>
          <w:rFonts w:ascii="Arial" w:hAnsi="Arial" w:cs="Arial"/>
          <w:sz w:val="22"/>
          <w:szCs w:val="22"/>
        </w:rPr>
        <w:t xml:space="preserve">heet must be submitted </w:t>
      </w:r>
      <w:r w:rsidR="00074BE0">
        <w:rPr>
          <w:rFonts w:ascii="Arial" w:hAnsi="Arial" w:cs="Arial"/>
          <w:sz w:val="22"/>
          <w:szCs w:val="22"/>
        </w:rPr>
        <w:t xml:space="preserve">to the </w:t>
      </w:r>
      <w:r w:rsidRPr="003E2BB3">
        <w:rPr>
          <w:rFonts w:ascii="Arial" w:hAnsi="Arial" w:cs="Arial"/>
          <w:sz w:val="22"/>
          <w:szCs w:val="22"/>
        </w:rPr>
        <w:t>Washington State Department of Commerce (Commerce) by September</w:t>
      </w:r>
      <w:r w:rsidR="00354725" w:rsidRPr="003E2BB3">
        <w:rPr>
          <w:rFonts w:ascii="Arial" w:hAnsi="Arial" w:cs="Arial"/>
          <w:sz w:val="22"/>
          <w:szCs w:val="22"/>
        </w:rPr>
        <w:t xml:space="preserve"> 1,</w:t>
      </w:r>
      <w:r w:rsidRPr="003E2BB3">
        <w:rPr>
          <w:rFonts w:ascii="Arial" w:hAnsi="Arial" w:cs="Arial"/>
          <w:sz w:val="22"/>
          <w:szCs w:val="22"/>
        </w:rPr>
        <w:t xml:space="preserve"> 20</w:t>
      </w:r>
      <w:r w:rsidR="00DD1F7C">
        <w:rPr>
          <w:rFonts w:ascii="Arial" w:hAnsi="Arial" w:cs="Arial"/>
          <w:sz w:val="22"/>
          <w:szCs w:val="22"/>
        </w:rPr>
        <w:t>22</w:t>
      </w:r>
      <w:r w:rsidRPr="003E2BB3">
        <w:rPr>
          <w:rFonts w:ascii="Arial" w:hAnsi="Arial" w:cs="Arial"/>
          <w:sz w:val="22"/>
          <w:szCs w:val="22"/>
        </w:rPr>
        <w:t xml:space="preserve">. An excel spreadsheet template of this </w:t>
      </w:r>
      <w:r w:rsidR="00354725" w:rsidRPr="003E2BB3">
        <w:rPr>
          <w:rFonts w:ascii="Arial" w:hAnsi="Arial" w:cs="Arial"/>
          <w:sz w:val="22"/>
          <w:szCs w:val="22"/>
        </w:rPr>
        <w:t>c</w:t>
      </w:r>
      <w:r w:rsidRPr="003E2BB3">
        <w:rPr>
          <w:rFonts w:ascii="Arial" w:hAnsi="Arial" w:cs="Arial"/>
          <w:sz w:val="22"/>
          <w:szCs w:val="22"/>
        </w:rPr>
        <w:t xml:space="preserve">over </w:t>
      </w:r>
      <w:r w:rsidR="00354725" w:rsidRPr="003E2BB3">
        <w:rPr>
          <w:rFonts w:ascii="Arial" w:hAnsi="Arial" w:cs="Arial"/>
          <w:sz w:val="22"/>
          <w:szCs w:val="22"/>
        </w:rPr>
        <w:t>s</w:t>
      </w:r>
      <w:r w:rsidRPr="003E2BB3">
        <w:rPr>
          <w:rFonts w:ascii="Arial" w:hAnsi="Arial" w:cs="Arial"/>
          <w:sz w:val="22"/>
          <w:szCs w:val="22"/>
        </w:rPr>
        <w:t>heet is provided and is recommended for use in reporting as it ensures more accurate data compilation.</w:t>
      </w:r>
      <w:r w:rsidR="005634FE" w:rsidRPr="003E2BB3">
        <w:rPr>
          <w:rFonts w:ascii="Arial" w:hAnsi="Arial" w:cs="Arial"/>
          <w:sz w:val="22"/>
          <w:szCs w:val="22"/>
        </w:rPr>
        <w:t xml:space="preserve"> For detailed requirements of plan development, see </w:t>
      </w:r>
      <w:hyperlink r:id="rId8" w:history="1">
        <w:r w:rsidR="005634FE" w:rsidRPr="003E2BB3">
          <w:rPr>
            <w:rStyle w:val="Hyperlink"/>
            <w:rFonts w:ascii="Arial" w:hAnsi="Arial" w:cs="Arial"/>
            <w:sz w:val="22"/>
            <w:szCs w:val="22"/>
          </w:rPr>
          <w:t>19.280</w:t>
        </w:r>
      </w:hyperlink>
      <w:r w:rsidR="005634FE" w:rsidRPr="003E2BB3">
        <w:rPr>
          <w:rFonts w:ascii="Arial" w:hAnsi="Arial" w:cs="Arial"/>
          <w:sz w:val="22"/>
          <w:szCs w:val="22"/>
        </w:rPr>
        <w:t xml:space="preserve"> RCW, at </w:t>
      </w:r>
      <w:hyperlink r:id="rId9" w:history="1">
        <w:r w:rsidR="003E2BB3" w:rsidRPr="003E2BB3">
          <w:rPr>
            <w:rStyle w:val="Hyperlink"/>
            <w:rFonts w:ascii="Arial" w:hAnsi="Arial" w:cs="Arial"/>
            <w:sz w:val="22"/>
            <w:szCs w:val="22"/>
          </w:rPr>
          <w:t>http://app.leg.wa.gov/RCW/default.aspx?cite=19.280</w:t>
        </w:r>
      </w:hyperlink>
    </w:p>
    <w:p w:rsidR="00A60D1D" w:rsidRPr="003E2BB3" w:rsidRDefault="00A60D1D" w:rsidP="00A60D1D">
      <w:pPr>
        <w:rPr>
          <w:rFonts w:ascii="Arial" w:hAnsi="Arial" w:cs="Arial"/>
          <w:b/>
          <w:sz w:val="22"/>
          <w:szCs w:val="22"/>
        </w:rPr>
      </w:pPr>
    </w:p>
    <w:p w:rsidR="00A60D1D" w:rsidRPr="003E2BB3" w:rsidRDefault="00A60D1D" w:rsidP="00A60D1D">
      <w:pPr>
        <w:rPr>
          <w:rFonts w:ascii="Arial" w:hAnsi="Arial" w:cs="Arial"/>
          <w:b/>
          <w:sz w:val="22"/>
          <w:szCs w:val="22"/>
        </w:rPr>
      </w:pPr>
      <w:r w:rsidRPr="003E2BB3">
        <w:rPr>
          <w:rFonts w:ascii="Arial" w:hAnsi="Arial" w:cs="Arial"/>
          <w:b/>
          <w:sz w:val="22"/>
          <w:szCs w:val="22"/>
        </w:rPr>
        <w:t>Selecting a Plan: Resource Plan or Integrated Resource Plan?</w:t>
      </w:r>
    </w:p>
    <w:p w:rsidR="00A60D1D" w:rsidRPr="003E2BB3" w:rsidRDefault="00A60D1D" w:rsidP="00A60D1D">
      <w:pPr>
        <w:rPr>
          <w:rFonts w:ascii="Arial" w:hAnsi="Arial" w:cs="Arial"/>
          <w:sz w:val="22"/>
          <w:szCs w:val="22"/>
        </w:rPr>
      </w:pPr>
    </w:p>
    <w:p w:rsidR="007873E2" w:rsidRPr="003E2BB3" w:rsidRDefault="007873E2" w:rsidP="007873E2">
      <w:pPr>
        <w:rPr>
          <w:rFonts w:ascii="Arial" w:hAnsi="Arial" w:cs="Arial"/>
          <w:sz w:val="22"/>
          <w:szCs w:val="22"/>
        </w:rPr>
      </w:pPr>
      <w:r w:rsidRPr="003E2BB3">
        <w:rPr>
          <w:rFonts w:ascii="Arial" w:hAnsi="Arial" w:cs="Arial"/>
          <w:sz w:val="22"/>
          <w:szCs w:val="22"/>
        </w:rPr>
        <w:t xml:space="preserve">Before you continue, select the correct set of instructions for your utility. There are two plan types: 1) a Resource Plan and 2) an Integrated Resource Plan. </w:t>
      </w:r>
    </w:p>
    <w:p w:rsidR="00A60D1D" w:rsidRPr="003E2BB3" w:rsidRDefault="00A60D1D" w:rsidP="00A60D1D">
      <w:pPr>
        <w:rPr>
          <w:rFonts w:ascii="Arial" w:hAnsi="Arial" w:cs="Arial"/>
          <w:sz w:val="22"/>
          <w:szCs w:val="22"/>
        </w:rPr>
      </w:pPr>
    </w:p>
    <w:p w:rsidR="00A60D1D" w:rsidRPr="003E2BB3" w:rsidRDefault="00A60D1D" w:rsidP="00A60D1D">
      <w:pPr>
        <w:rPr>
          <w:rFonts w:ascii="Arial" w:hAnsi="Arial" w:cs="Arial"/>
          <w:sz w:val="22"/>
          <w:szCs w:val="22"/>
        </w:rPr>
      </w:pPr>
      <w:r w:rsidRPr="003E2BB3">
        <w:rPr>
          <w:rFonts w:ascii="Arial" w:hAnsi="Arial" w:cs="Arial"/>
          <w:b/>
          <w:sz w:val="22"/>
          <w:szCs w:val="22"/>
        </w:rPr>
        <w:t xml:space="preserve">These instructions </w:t>
      </w:r>
      <w:r w:rsidR="005634FE" w:rsidRPr="003E2BB3">
        <w:rPr>
          <w:rFonts w:ascii="Arial" w:hAnsi="Arial" w:cs="Arial"/>
          <w:b/>
          <w:sz w:val="22"/>
          <w:szCs w:val="22"/>
        </w:rPr>
        <w:t>are for an</w:t>
      </w:r>
      <w:r w:rsidRPr="003E2BB3">
        <w:rPr>
          <w:rFonts w:ascii="Arial" w:hAnsi="Arial" w:cs="Arial"/>
          <w:b/>
          <w:sz w:val="22"/>
          <w:szCs w:val="22"/>
        </w:rPr>
        <w:t xml:space="preserve"> Integrated Resource Plan </w:t>
      </w:r>
      <w:r w:rsidR="005634FE" w:rsidRPr="003E2BB3">
        <w:rPr>
          <w:rFonts w:ascii="Arial" w:hAnsi="Arial" w:cs="Arial"/>
          <w:sz w:val="22"/>
          <w:szCs w:val="22"/>
        </w:rPr>
        <w:t>which:</w:t>
      </w:r>
      <w:r w:rsidRPr="003E2BB3">
        <w:rPr>
          <w:rFonts w:ascii="Arial" w:hAnsi="Arial" w:cs="Arial"/>
          <w:sz w:val="22"/>
          <w:szCs w:val="22"/>
        </w:rPr>
        <w:t xml:space="preserve"> </w:t>
      </w:r>
    </w:p>
    <w:p w:rsidR="00A60D1D" w:rsidRPr="003E2BB3" w:rsidRDefault="00FE6A07" w:rsidP="00A60D1D">
      <w:pPr>
        <w:numPr>
          <w:ilvl w:val="0"/>
          <w:numId w:val="3"/>
        </w:numPr>
        <w:rPr>
          <w:rFonts w:ascii="Arial" w:hAnsi="Arial" w:cs="Arial"/>
          <w:sz w:val="22"/>
          <w:szCs w:val="22"/>
        </w:rPr>
      </w:pPr>
      <w:r w:rsidRPr="003E2BB3">
        <w:rPr>
          <w:rFonts w:ascii="Arial" w:hAnsi="Arial" w:cs="Arial"/>
          <w:sz w:val="22"/>
          <w:szCs w:val="22"/>
        </w:rPr>
        <w:t xml:space="preserve">must be completed by </w:t>
      </w:r>
      <w:r w:rsidR="00A60D1D" w:rsidRPr="003E2BB3">
        <w:rPr>
          <w:rFonts w:ascii="Arial" w:hAnsi="Arial" w:cs="Arial"/>
          <w:sz w:val="22"/>
          <w:szCs w:val="22"/>
        </w:rPr>
        <w:t xml:space="preserve">all utilities with more than 25,000 meters that are </w:t>
      </w:r>
      <w:r w:rsidR="00A60D1D" w:rsidRPr="003E2BB3">
        <w:rPr>
          <w:rFonts w:ascii="Arial" w:hAnsi="Arial" w:cs="Arial"/>
          <w:b/>
          <w:sz w:val="22"/>
          <w:szCs w:val="22"/>
        </w:rPr>
        <w:t>not</w:t>
      </w:r>
      <w:r w:rsidR="00A60D1D" w:rsidRPr="003E2BB3">
        <w:rPr>
          <w:rFonts w:ascii="Arial" w:hAnsi="Arial" w:cs="Arial"/>
          <w:sz w:val="22"/>
          <w:szCs w:val="22"/>
        </w:rPr>
        <w:t xml:space="preserve"> full requirements </w:t>
      </w:r>
      <w:r w:rsidRPr="003E2BB3">
        <w:rPr>
          <w:rFonts w:ascii="Arial" w:hAnsi="Arial" w:cs="Arial"/>
          <w:sz w:val="22"/>
          <w:szCs w:val="22"/>
        </w:rPr>
        <w:t>c</w:t>
      </w:r>
      <w:r w:rsidR="00A60D1D" w:rsidRPr="003E2BB3">
        <w:rPr>
          <w:rFonts w:ascii="Arial" w:hAnsi="Arial" w:cs="Arial"/>
          <w:sz w:val="22"/>
          <w:szCs w:val="22"/>
        </w:rPr>
        <w:t>ustomers of BPA</w:t>
      </w:r>
      <w:r w:rsidR="00EB0A9F">
        <w:rPr>
          <w:rFonts w:ascii="Arial" w:hAnsi="Arial" w:cs="Arial"/>
          <w:sz w:val="22"/>
          <w:szCs w:val="22"/>
        </w:rPr>
        <w:t xml:space="preserve"> (not </w:t>
      </w:r>
      <w:r w:rsidRPr="003E2BB3">
        <w:rPr>
          <w:rFonts w:ascii="Arial" w:hAnsi="Arial" w:cs="Arial"/>
          <w:sz w:val="22"/>
          <w:szCs w:val="22"/>
        </w:rPr>
        <w:t>100% BPA utility customers</w:t>
      </w:r>
      <w:r w:rsidR="00EB0A9F">
        <w:rPr>
          <w:rFonts w:ascii="Arial" w:hAnsi="Arial" w:cs="Arial"/>
          <w:sz w:val="22"/>
          <w:szCs w:val="22"/>
        </w:rPr>
        <w:t>)</w:t>
      </w:r>
      <w:r w:rsidR="00A60D1D" w:rsidRPr="003E2BB3">
        <w:rPr>
          <w:rFonts w:ascii="Arial" w:hAnsi="Arial" w:cs="Arial"/>
          <w:sz w:val="22"/>
          <w:szCs w:val="22"/>
        </w:rPr>
        <w:t>, and</w:t>
      </w:r>
    </w:p>
    <w:p w:rsidR="00A60D1D" w:rsidRPr="003E2BB3" w:rsidRDefault="00A60D1D" w:rsidP="00A60D1D">
      <w:pPr>
        <w:pStyle w:val="ListParagraph"/>
        <w:numPr>
          <w:ilvl w:val="0"/>
          <w:numId w:val="3"/>
        </w:numPr>
        <w:spacing w:after="0" w:line="240" w:lineRule="auto"/>
        <w:rPr>
          <w:rFonts w:ascii="Arial" w:hAnsi="Arial" w:cs="Arial"/>
        </w:rPr>
      </w:pPr>
      <w:proofErr w:type="gramStart"/>
      <w:r w:rsidRPr="003E2BB3">
        <w:rPr>
          <w:rFonts w:ascii="Arial" w:hAnsi="Arial" w:cs="Arial"/>
        </w:rPr>
        <w:t>may</w:t>
      </w:r>
      <w:proofErr w:type="gramEnd"/>
      <w:r w:rsidRPr="003E2BB3">
        <w:rPr>
          <w:rFonts w:ascii="Arial" w:hAnsi="Arial" w:cs="Arial"/>
        </w:rPr>
        <w:t xml:space="preserve"> be used by utilities with less than 25,000 </w:t>
      </w:r>
      <w:r w:rsidR="00A24A42" w:rsidRPr="003E2BB3">
        <w:rPr>
          <w:rFonts w:ascii="Arial" w:hAnsi="Arial" w:cs="Arial"/>
        </w:rPr>
        <w:t>meters</w:t>
      </w:r>
      <w:r w:rsidR="00D6064B" w:rsidRPr="003E2BB3">
        <w:rPr>
          <w:rFonts w:ascii="Arial" w:hAnsi="Arial" w:cs="Arial"/>
        </w:rPr>
        <w:t xml:space="preserve"> that follow </w:t>
      </w:r>
      <w:r w:rsidRPr="003E2BB3">
        <w:rPr>
          <w:rFonts w:ascii="Arial" w:hAnsi="Arial" w:cs="Arial"/>
        </w:rPr>
        <w:t xml:space="preserve">their own </w:t>
      </w:r>
      <w:proofErr w:type="spellStart"/>
      <w:r w:rsidR="00EB0A9F">
        <w:rPr>
          <w:rFonts w:ascii="Arial" w:hAnsi="Arial" w:cs="Arial"/>
        </w:rPr>
        <w:t>elextric</w:t>
      </w:r>
      <w:proofErr w:type="spellEnd"/>
      <w:r w:rsidR="00EB0A9F">
        <w:rPr>
          <w:rFonts w:ascii="Arial" w:hAnsi="Arial" w:cs="Arial"/>
        </w:rPr>
        <w:t xml:space="preserve"> </w:t>
      </w:r>
      <w:r w:rsidRPr="003E2BB3">
        <w:rPr>
          <w:rFonts w:ascii="Arial" w:hAnsi="Arial" w:cs="Arial"/>
        </w:rPr>
        <w:t>loads.</w:t>
      </w:r>
    </w:p>
    <w:p w:rsidR="00A60D1D" w:rsidRPr="003E2BB3" w:rsidRDefault="00A60D1D" w:rsidP="00A60D1D">
      <w:pPr>
        <w:rPr>
          <w:rFonts w:ascii="Arial" w:hAnsi="Arial" w:cs="Arial"/>
          <w:b/>
          <w:sz w:val="22"/>
          <w:szCs w:val="22"/>
        </w:rPr>
      </w:pPr>
    </w:p>
    <w:p w:rsidR="00A60D1D" w:rsidRDefault="00A60D1D" w:rsidP="00A60D1D">
      <w:pPr>
        <w:pStyle w:val="ListParagraph"/>
        <w:spacing w:after="0" w:line="240" w:lineRule="auto"/>
        <w:ind w:left="0"/>
        <w:rPr>
          <w:rFonts w:ascii="Arial" w:hAnsi="Arial" w:cs="Arial"/>
        </w:rPr>
      </w:pPr>
      <w:r w:rsidRPr="003E2BB3">
        <w:rPr>
          <w:rFonts w:ascii="Arial" w:hAnsi="Arial" w:cs="Arial"/>
        </w:rPr>
        <w:t>A standard</w:t>
      </w:r>
      <w:r w:rsidRPr="003E2BB3">
        <w:rPr>
          <w:rFonts w:ascii="Arial" w:hAnsi="Arial" w:cs="Arial"/>
          <w:b/>
        </w:rPr>
        <w:t xml:space="preserve"> </w:t>
      </w:r>
      <w:r w:rsidRPr="003E2BB3">
        <w:rPr>
          <w:rFonts w:ascii="Arial" w:hAnsi="Arial" w:cs="Arial"/>
        </w:rPr>
        <w:t>Resource Plan</w:t>
      </w:r>
      <w:r w:rsidRPr="003E2BB3">
        <w:rPr>
          <w:rFonts w:ascii="Arial" w:hAnsi="Arial" w:cs="Arial"/>
          <w:b/>
        </w:rPr>
        <w:t xml:space="preserve"> </w:t>
      </w:r>
      <w:r w:rsidRPr="003E2BB3">
        <w:rPr>
          <w:rFonts w:ascii="Arial" w:hAnsi="Arial" w:cs="Arial"/>
        </w:rPr>
        <w:t>should be completed by full requirements customers (</w:t>
      </w:r>
      <w:r w:rsidR="00AF1BCD">
        <w:rPr>
          <w:rFonts w:ascii="Arial" w:hAnsi="Arial" w:cs="Arial"/>
        </w:rPr>
        <w:t xml:space="preserve">100% </w:t>
      </w:r>
      <w:r w:rsidRPr="003E2BB3">
        <w:rPr>
          <w:rFonts w:ascii="Arial" w:hAnsi="Arial" w:cs="Arial"/>
        </w:rPr>
        <w:t>BPA or other) and utilities with fewer than 25,000</w:t>
      </w:r>
      <w:r w:rsidR="00AF1BCD">
        <w:rPr>
          <w:rFonts w:ascii="Arial" w:hAnsi="Arial" w:cs="Arial"/>
        </w:rPr>
        <w:t xml:space="preserve"> </w:t>
      </w:r>
      <w:r w:rsidRPr="003E2BB3">
        <w:rPr>
          <w:rFonts w:ascii="Arial" w:hAnsi="Arial" w:cs="Arial"/>
        </w:rPr>
        <w:t xml:space="preserve">meters. </w:t>
      </w:r>
    </w:p>
    <w:p w:rsidR="00105E10" w:rsidRDefault="00105E10" w:rsidP="00A60D1D">
      <w:pPr>
        <w:pStyle w:val="ListParagraph"/>
        <w:spacing w:after="0" w:line="240" w:lineRule="auto"/>
        <w:ind w:left="0"/>
        <w:rPr>
          <w:rFonts w:ascii="Arial" w:hAnsi="Arial" w:cs="Arial"/>
        </w:rPr>
      </w:pPr>
    </w:p>
    <w:p w:rsidR="00105E10" w:rsidRPr="003E2BB3" w:rsidRDefault="00105E10" w:rsidP="00A60D1D">
      <w:pPr>
        <w:pStyle w:val="ListParagraph"/>
        <w:spacing w:after="0" w:line="240" w:lineRule="auto"/>
        <w:ind w:left="0"/>
        <w:rPr>
          <w:rFonts w:ascii="Arial" w:hAnsi="Arial" w:cs="Arial"/>
        </w:rPr>
      </w:pPr>
      <w:r>
        <w:rPr>
          <w:rFonts w:ascii="Arial" w:hAnsi="Arial" w:cs="Arial"/>
        </w:rPr>
        <w:t>Do not convert this to a PDF. We need it kept in Excel for incorporation into the database.</w:t>
      </w:r>
    </w:p>
    <w:p w:rsidR="00A60D1D" w:rsidRPr="003E2BB3" w:rsidRDefault="00A60D1D" w:rsidP="00A60D1D">
      <w:pPr>
        <w:pStyle w:val="ListParagraph"/>
        <w:spacing w:after="0" w:line="240" w:lineRule="auto"/>
        <w:ind w:left="0"/>
        <w:jc w:val="center"/>
        <w:rPr>
          <w:rFonts w:ascii="Arial" w:hAnsi="Arial" w:cs="Arial"/>
          <w:b/>
          <w:i/>
        </w:rPr>
      </w:pPr>
    </w:p>
    <w:p w:rsidR="007873E2" w:rsidRPr="003E2BB3" w:rsidRDefault="00A60D1D" w:rsidP="007873E2">
      <w:pPr>
        <w:pStyle w:val="ListParagraph"/>
        <w:spacing w:after="0" w:line="240" w:lineRule="auto"/>
        <w:ind w:left="0"/>
        <w:jc w:val="center"/>
        <w:rPr>
          <w:rFonts w:ascii="Arial" w:hAnsi="Arial" w:cs="Arial"/>
          <w:b/>
          <w:i/>
        </w:rPr>
      </w:pPr>
      <w:r w:rsidRPr="003E2BB3">
        <w:rPr>
          <w:rFonts w:ascii="Arial" w:hAnsi="Arial" w:cs="Arial"/>
          <w:b/>
          <w:i/>
        </w:rPr>
        <w:t>Integrated Resource Plan Cover Sheet screenshot</w:t>
      </w:r>
    </w:p>
    <w:p w:rsidR="00C73565" w:rsidRPr="003E2BB3" w:rsidRDefault="008A7831" w:rsidP="007873E2">
      <w:pPr>
        <w:pStyle w:val="ListParagraph"/>
        <w:spacing w:after="0" w:line="240" w:lineRule="auto"/>
        <w:ind w:left="0"/>
        <w:jc w:val="center"/>
        <w:rPr>
          <w:rFonts w:ascii="Arial" w:hAnsi="Arial" w:cs="Arial"/>
          <w:b/>
          <w:iCs/>
        </w:rPr>
      </w:pPr>
      <w:r w:rsidRPr="003E2BB3">
        <w:rPr>
          <w:rFonts w:ascii="Arial" w:hAnsi="Arial" w:cs="Arial"/>
          <w:noProof/>
        </w:rPr>
        <w:drawing>
          <wp:inline distT="0" distB="0" distL="0" distR="0" wp14:anchorId="1C602042" wp14:editId="304F00C4">
            <wp:extent cx="5582093" cy="3605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2414" cy="3605310"/>
                    </a:xfrm>
                    <a:prstGeom prst="rect">
                      <a:avLst/>
                    </a:prstGeom>
                  </pic:spPr>
                </pic:pic>
              </a:graphicData>
            </a:graphic>
          </wp:inline>
        </w:drawing>
      </w:r>
      <w:r w:rsidR="00C73565" w:rsidRPr="003E2BB3">
        <w:rPr>
          <w:rFonts w:ascii="Arial" w:hAnsi="Arial" w:cs="Arial"/>
          <w:b/>
          <w:i/>
        </w:rPr>
        <w:br w:type="page"/>
      </w:r>
      <w:r w:rsidR="00C73565" w:rsidRPr="003E2BB3">
        <w:rPr>
          <w:rFonts w:ascii="Arial" w:hAnsi="Arial" w:cs="Arial"/>
          <w:b/>
          <w:iCs/>
        </w:rPr>
        <w:lastRenderedPageBreak/>
        <w:t xml:space="preserve"> Reporting Details</w:t>
      </w:r>
    </w:p>
    <w:p w:rsidR="00C73565" w:rsidRPr="003E2BB3" w:rsidRDefault="00C73565" w:rsidP="00C73565">
      <w:pPr>
        <w:rPr>
          <w:rFonts w:ascii="Arial" w:hAnsi="Arial" w:cs="Arial"/>
          <w:sz w:val="22"/>
          <w:szCs w:val="22"/>
        </w:rPr>
      </w:pPr>
    </w:p>
    <w:p w:rsidR="00C73565" w:rsidRPr="003E2BB3" w:rsidRDefault="00C73565" w:rsidP="00C73565">
      <w:pPr>
        <w:autoSpaceDE w:val="0"/>
        <w:autoSpaceDN w:val="0"/>
        <w:adjustRightInd w:val="0"/>
        <w:rPr>
          <w:rFonts w:ascii="Arial" w:hAnsi="Arial" w:cs="Arial"/>
          <w:b/>
          <w:sz w:val="22"/>
          <w:szCs w:val="22"/>
        </w:rPr>
      </w:pPr>
      <w:r w:rsidRPr="003E2BB3">
        <w:rPr>
          <w:rFonts w:ascii="Arial" w:hAnsi="Arial" w:cs="Arial"/>
          <w:b/>
          <w:sz w:val="22"/>
          <w:szCs w:val="22"/>
        </w:rPr>
        <w:t>Resource Plan Year</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The IRP summarized in this </w:t>
      </w:r>
      <w:r w:rsidR="005634FE" w:rsidRPr="003E2BB3">
        <w:rPr>
          <w:rFonts w:ascii="Arial" w:hAnsi="Arial" w:cs="Arial"/>
          <w:sz w:val="22"/>
          <w:szCs w:val="22"/>
        </w:rPr>
        <w:t xml:space="preserve">cover sheet is </w:t>
      </w:r>
      <w:r w:rsidR="00074BE0">
        <w:rPr>
          <w:rFonts w:ascii="Arial" w:hAnsi="Arial" w:cs="Arial"/>
          <w:sz w:val="22"/>
          <w:szCs w:val="22"/>
        </w:rPr>
        <w:t xml:space="preserve">to be </w:t>
      </w:r>
      <w:r w:rsidR="005634FE" w:rsidRPr="003E2BB3">
        <w:rPr>
          <w:rFonts w:ascii="Arial" w:hAnsi="Arial" w:cs="Arial"/>
          <w:sz w:val="22"/>
          <w:szCs w:val="22"/>
        </w:rPr>
        <w:t xml:space="preserve">completed </w:t>
      </w:r>
      <w:r w:rsidR="00750899" w:rsidRPr="003E2BB3">
        <w:rPr>
          <w:rFonts w:ascii="Arial" w:hAnsi="Arial" w:cs="Arial"/>
          <w:sz w:val="22"/>
          <w:szCs w:val="22"/>
        </w:rPr>
        <w:t>this year:</w:t>
      </w:r>
      <w:r w:rsidR="005634FE" w:rsidRPr="003E2BB3">
        <w:rPr>
          <w:rFonts w:ascii="Arial" w:hAnsi="Arial" w:cs="Arial"/>
          <w:sz w:val="22"/>
          <w:szCs w:val="22"/>
        </w:rPr>
        <w:t xml:space="preserve"> </w:t>
      </w:r>
      <w:r w:rsidR="0080207B">
        <w:rPr>
          <w:rFonts w:ascii="Arial" w:hAnsi="Arial" w:cs="Arial"/>
          <w:sz w:val="22"/>
          <w:szCs w:val="22"/>
        </w:rPr>
        <w:t>2022</w:t>
      </w:r>
      <w:r w:rsidR="00FE6A07" w:rsidRPr="003E2BB3">
        <w:rPr>
          <w:rFonts w:ascii="Arial" w:hAnsi="Arial" w:cs="Arial"/>
          <w:sz w:val="22"/>
          <w:szCs w:val="22"/>
        </w:rPr>
        <w:t>.</w:t>
      </w:r>
      <w:r w:rsidRPr="003E2BB3">
        <w:rPr>
          <w:rFonts w:ascii="Arial" w:hAnsi="Arial" w:cs="Arial"/>
          <w:sz w:val="22"/>
          <w:szCs w:val="22"/>
        </w:rPr>
        <w:t xml:space="preserve"> </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Base Year</w:t>
      </w:r>
    </w:p>
    <w:p w:rsidR="00FE6A07" w:rsidRPr="003E2BB3" w:rsidRDefault="00FE6A07" w:rsidP="00FE6A07">
      <w:pPr>
        <w:ind w:left="720"/>
        <w:rPr>
          <w:rFonts w:ascii="Arial" w:hAnsi="Arial" w:cs="Arial"/>
          <w:sz w:val="22"/>
          <w:szCs w:val="22"/>
        </w:rPr>
      </w:pPr>
      <w:r w:rsidRPr="003E2BB3">
        <w:rPr>
          <w:rFonts w:ascii="Arial" w:hAnsi="Arial" w:cs="Arial"/>
          <w:sz w:val="22"/>
          <w:szCs w:val="22"/>
        </w:rPr>
        <w:t>Twelve month period of actual, not projected electricity service</w:t>
      </w:r>
      <w:r w:rsidR="00354725" w:rsidRPr="003E2BB3">
        <w:rPr>
          <w:rFonts w:ascii="Arial" w:hAnsi="Arial" w:cs="Arial"/>
          <w:sz w:val="22"/>
          <w:szCs w:val="22"/>
        </w:rPr>
        <w:t xml:space="preserve">. </w:t>
      </w:r>
      <w:r w:rsidRPr="003E2BB3">
        <w:rPr>
          <w:rFonts w:ascii="Arial" w:hAnsi="Arial" w:cs="Arial"/>
          <w:sz w:val="22"/>
          <w:szCs w:val="22"/>
        </w:rPr>
        <w:t xml:space="preserve">A Base Year </w:t>
      </w:r>
      <w:r w:rsidR="0080207B">
        <w:rPr>
          <w:rFonts w:ascii="Arial" w:hAnsi="Arial" w:cs="Arial"/>
          <w:sz w:val="22"/>
          <w:szCs w:val="22"/>
        </w:rPr>
        <w:t>of 2020 or 2021</w:t>
      </w:r>
      <w:r w:rsidRPr="003E2BB3">
        <w:rPr>
          <w:rFonts w:ascii="Arial" w:hAnsi="Arial" w:cs="Arial"/>
          <w:sz w:val="22"/>
          <w:szCs w:val="22"/>
        </w:rPr>
        <w:t xml:space="preserve"> is recommended. </w:t>
      </w:r>
    </w:p>
    <w:p w:rsidR="00C73565" w:rsidRPr="003E2BB3" w:rsidRDefault="00C73565" w:rsidP="00C73565">
      <w:pPr>
        <w:ind w:left="72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 xml:space="preserve">Five and Ten Year </w:t>
      </w:r>
      <w:r w:rsidR="00074BE0">
        <w:rPr>
          <w:rFonts w:ascii="Arial" w:hAnsi="Arial" w:cs="Arial"/>
          <w:b/>
          <w:sz w:val="22"/>
          <w:szCs w:val="22"/>
        </w:rPr>
        <w:t xml:space="preserve">Load and Resource </w:t>
      </w:r>
      <w:r w:rsidRPr="003E2BB3">
        <w:rPr>
          <w:rFonts w:ascii="Arial" w:hAnsi="Arial" w:cs="Arial"/>
          <w:b/>
          <w:sz w:val="22"/>
          <w:szCs w:val="22"/>
        </w:rPr>
        <w:t xml:space="preserve">Reporting: </w:t>
      </w:r>
    </w:p>
    <w:p w:rsidR="00FE6A07" w:rsidRPr="003E2BB3" w:rsidRDefault="00C73565" w:rsidP="00FE6A07">
      <w:pPr>
        <w:ind w:left="720"/>
        <w:rPr>
          <w:rFonts w:ascii="Arial" w:hAnsi="Arial" w:cs="Arial"/>
          <w:sz w:val="22"/>
          <w:szCs w:val="22"/>
        </w:rPr>
      </w:pPr>
      <w:r w:rsidRPr="003E2BB3">
        <w:rPr>
          <w:rFonts w:ascii="Arial" w:hAnsi="Arial" w:cs="Arial"/>
          <w:sz w:val="22"/>
          <w:szCs w:val="22"/>
        </w:rPr>
        <w:t xml:space="preserve">On the cover sheet, five and ten year reporting is for calendar years or federal fiscal year, (October – September). Federal fiscal year has been added as an option to accommodate utilities that create plans consistent with federal power contract terms. </w:t>
      </w:r>
      <w:r w:rsidR="0080207B">
        <w:rPr>
          <w:rFonts w:ascii="Arial" w:hAnsi="Arial" w:cs="Arial"/>
          <w:sz w:val="22"/>
          <w:szCs w:val="22"/>
        </w:rPr>
        <w:t>If your Base Year is 2020</w:t>
      </w:r>
      <w:r w:rsidR="00FE6A07" w:rsidRPr="003E2BB3">
        <w:rPr>
          <w:rFonts w:ascii="Arial" w:hAnsi="Arial" w:cs="Arial"/>
          <w:sz w:val="22"/>
          <w:szCs w:val="22"/>
        </w:rPr>
        <w:t>, the five and ten year estimates should be 20</w:t>
      </w:r>
      <w:r w:rsidR="0080207B">
        <w:rPr>
          <w:rFonts w:ascii="Arial" w:hAnsi="Arial" w:cs="Arial"/>
          <w:sz w:val="22"/>
          <w:szCs w:val="22"/>
        </w:rPr>
        <w:t>25 and 2030. If your Base Year is 2021</w:t>
      </w:r>
      <w:r w:rsidR="00FE6A07" w:rsidRPr="003E2BB3">
        <w:rPr>
          <w:rFonts w:ascii="Arial" w:hAnsi="Arial" w:cs="Arial"/>
          <w:sz w:val="22"/>
          <w:szCs w:val="22"/>
        </w:rPr>
        <w:t>, they should be 202</w:t>
      </w:r>
      <w:r w:rsidR="0080207B">
        <w:rPr>
          <w:rFonts w:ascii="Arial" w:hAnsi="Arial" w:cs="Arial"/>
          <w:sz w:val="22"/>
          <w:szCs w:val="22"/>
        </w:rPr>
        <w:t>6 and 2031</w:t>
      </w:r>
      <w:r w:rsidR="00FE6A07" w:rsidRPr="003E2BB3">
        <w:rPr>
          <w:rFonts w:ascii="Arial" w:hAnsi="Arial" w:cs="Arial"/>
          <w:sz w:val="22"/>
          <w:szCs w:val="22"/>
        </w:rPr>
        <w:t>.</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Reporting Units</w:t>
      </w:r>
    </w:p>
    <w:p w:rsidR="00C73565" w:rsidRPr="003E2BB3" w:rsidRDefault="00C73565" w:rsidP="009D6A70">
      <w:pPr>
        <w:ind w:left="720"/>
        <w:rPr>
          <w:rFonts w:ascii="Arial" w:hAnsi="Arial" w:cs="Arial"/>
          <w:sz w:val="22"/>
          <w:szCs w:val="22"/>
        </w:rPr>
      </w:pPr>
      <w:r w:rsidRPr="003E2BB3">
        <w:rPr>
          <w:rFonts w:ascii="Arial" w:hAnsi="Arial" w:cs="Arial"/>
          <w:sz w:val="22"/>
          <w:szCs w:val="22"/>
        </w:rPr>
        <w:t>Summer Peak One-Hour Demand, Megawatt (MW)</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Winter Peak One-Hour Demand, Megawatt (MW)  </w:t>
      </w:r>
    </w:p>
    <w:p w:rsidR="00C73565" w:rsidRPr="003E2BB3" w:rsidRDefault="00C73565" w:rsidP="009D6A70">
      <w:pPr>
        <w:ind w:left="720"/>
        <w:rPr>
          <w:rFonts w:ascii="Arial" w:hAnsi="Arial" w:cs="Arial"/>
          <w:b/>
          <w:sz w:val="22"/>
          <w:szCs w:val="22"/>
        </w:rPr>
      </w:pPr>
      <w:r w:rsidRPr="003E2BB3">
        <w:rPr>
          <w:rFonts w:ascii="Arial" w:hAnsi="Arial" w:cs="Arial"/>
          <w:sz w:val="22"/>
          <w:szCs w:val="22"/>
        </w:rPr>
        <w:t>Annual Energy, Average Megawatt (</w:t>
      </w:r>
      <w:proofErr w:type="spellStart"/>
      <w:r w:rsidRPr="003E2BB3">
        <w:rPr>
          <w:rFonts w:ascii="Arial" w:hAnsi="Arial" w:cs="Arial"/>
          <w:sz w:val="22"/>
          <w:szCs w:val="22"/>
        </w:rPr>
        <w:t>MWa</w:t>
      </w:r>
      <w:proofErr w:type="spellEnd"/>
      <w:r w:rsidRPr="003E2BB3">
        <w:rPr>
          <w:rFonts w:ascii="Arial" w:hAnsi="Arial" w:cs="Arial"/>
          <w:sz w:val="22"/>
          <w:szCs w:val="22"/>
        </w:rPr>
        <w:t>)</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Loads</w:t>
      </w:r>
    </w:p>
    <w:p w:rsidR="00C73565" w:rsidRPr="003E2BB3" w:rsidRDefault="00C73565" w:rsidP="009D6A70">
      <w:pPr>
        <w:ind w:left="720"/>
        <w:rPr>
          <w:rFonts w:ascii="Arial" w:hAnsi="Arial" w:cs="Arial"/>
          <w:sz w:val="22"/>
          <w:szCs w:val="22"/>
        </w:rPr>
      </w:pPr>
      <w:r w:rsidRPr="003E2BB3">
        <w:rPr>
          <w:rFonts w:ascii="Arial" w:hAnsi="Arial" w:cs="Arial"/>
          <w:bCs/>
          <w:sz w:val="22"/>
          <w:szCs w:val="22"/>
        </w:rPr>
        <w:t>19.280 RCW</w:t>
      </w:r>
      <w:r w:rsidRPr="003E2BB3">
        <w:rPr>
          <w:rFonts w:ascii="Arial" w:hAnsi="Arial" w:cs="Arial"/>
          <w:sz w:val="22"/>
          <w:szCs w:val="22"/>
        </w:rPr>
        <w:t xml:space="preserve"> says that the IRP should include “a range of forecasts….of projected customer demand…..”  For purposes of this cover sheet, utilities should report the data from their “preferred alternative” or equivalent scenario or their “mid-range” forecast or equivalent scenario.</w:t>
      </w:r>
    </w:p>
    <w:p w:rsidR="00C73565" w:rsidRPr="003E2BB3" w:rsidRDefault="00C73565" w:rsidP="009D6A70">
      <w:pPr>
        <w:ind w:left="720"/>
        <w:rPr>
          <w:rFonts w:ascii="Arial" w:hAnsi="Arial" w:cs="Arial"/>
          <w:sz w:val="22"/>
          <w:szCs w:val="22"/>
        </w:rPr>
      </w:pPr>
    </w:p>
    <w:p w:rsidR="00103AB0" w:rsidRPr="003E2BB3" w:rsidRDefault="00103AB0" w:rsidP="009D6A70">
      <w:pPr>
        <w:ind w:left="720"/>
        <w:rPr>
          <w:rFonts w:ascii="Arial" w:hAnsi="Arial" w:cs="Arial"/>
          <w:b/>
          <w:sz w:val="22"/>
          <w:szCs w:val="22"/>
        </w:rPr>
      </w:pPr>
      <w:r w:rsidRPr="003E2BB3">
        <w:rPr>
          <w:rFonts w:ascii="Arial" w:hAnsi="Arial" w:cs="Arial"/>
          <w:sz w:val="22"/>
          <w:szCs w:val="22"/>
        </w:rPr>
        <w:t xml:space="preserve">All projected </w:t>
      </w:r>
      <w:r w:rsidR="00EB0A9F">
        <w:rPr>
          <w:rFonts w:ascii="Arial" w:hAnsi="Arial" w:cs="Arial"/>
          <w:sz w:val="22"/>
          <w:szCs w:val="22"/>
        </w:rPr>
        <w:t xml:space="preserve">electric </w:t>
      </w:r>
      <w:r w:rsidRPr="003E2BB3">
        <w:rPr>
          <w:rFonts w:ascii="Arial" w:hAnsi="Arial" w:cs="Arial"/>
          <w:sz w:val="22"/>
          <w:szCs w:val="22"/>
        </w:rPr>
        <w:t>loads (non-base year) are before estimated reductions from conservation programs or demand reduction program estimates</w:t>
      </w:r>
      <w:r w:rsidR="008A1481" w:rsidRPr="003E2BB3">
        <w:rPr>
          <w:rFonts w:ascii="Arial" w:hAnsi="Arial" w:cs="Arial"/>
          <w:sz w:val="22"/>
          <w:szCs w:val="22"/>
        </w:rPr>
        <w:t xml:space="preserve">. </w:t>
      </w:r>
      <w:r w:rsidRPr="003E2BB3">
        <w:rPr>
          <w:rFonts w:ascii="Arial" w:hAnsi="Arial" w:cs="Arial"/>
          <w:sz w:val="22"/>
          <w:szCs w:val="22"/>
        </w:rPr>
        <w:t xml:space="preserve">Conservation and demand response are treated as a resource to meet load. </w:t>
      </w:r>
      <w:r w:rsidRPr="003E2BB3">
        <w:rPr>
          <w:rFonts w:ascii="Arial" w:hAnsi="Arial" w:cs="Arial"/>
          <w:b/>
          <w:sz w:val="22"/>
          <w:szCs w:val="22"/>
        </w:rPr>
        <w:t xml:space="preserve">The Base year does not include conservation or demand reduction as a load or resource. </w:t>
      </w:r>
    </w:p>
    <w:p w:rsidR="00103AB0" w:rsidRPr="003E2BB3" w:rsidRDefault="00103AB0" w:rsidP="00C73565">
      <w:pPr>
        <w:ind w:left="72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Average Energy</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Retail sales + line losses + utility needs </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Adjusted for normal weather </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Peak Energy</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Highest estimated one-hour load for summer and winter, normalized for weather. In the IRP, detail the assumptions of the peak event. It is expected that utilities will use different assumptions. It is important the IRP provide enough detail to support aggregated reporting for all state utilities.  </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 xml:space="preserve">Base Year Load </w:t>
      </w:r>
    </w:p>
    <w:p w:rsidR="00C73565" w:rsidRPr="003E2BB3" w:rsidRDefault="00C73565" w:rsidP="009D6A70">
      <w:pPr>
        <w:ind w:left="720"/>
        <w:rPr>
          <w:rFonts w:ascii="Arial" w:hAnsi="Arial" w:cs="Arial"/>
          <w:sz w:val="22"/>
          <w:szCs w:val="22"/>
        </w:rPr>
      </w:pPr>
      <w:r w:rsidRPr="003E2BB3">
        <w:rPr>
          <w:rFonts w:ascii="Arial" w:hAnsi="Arial" w:cs="Arial"/>
          <w:sz w:val="22"/>
          <w:szCs w:val="22"/>
        </w:rPr>
        <w:t>On the cover sheet the utility may record the actual base year load, a weather adjusted load, or an alternative method</w:t>
      </w:r>
      <w:r w:rsidR="00354725" w:rsidRPr="003E2BB3">
        <w:rPr>
          <w:rFonts w:ascii="Arial" w:hAnsi="Arial" w:cs="Arial"/>
          <w:sz w:val="22"/>
          <w:szCs w:val="22"/>
        </w:rPr>
        <w:t xml:space="preserve">. </w:t>
      </w:r>
      <w:r w:rsidRPr="003E2BB3">
        <w:rPr>
          <w:rFonts w:ascii="Arial" w:hAnsi="Arial" w:cs="Arial"/>
          <w:sz w:val="22"/>
          <w:szCs w:val="22"/>
        </w:rPr>
        <w:t>The method used to calculate the base year load should be documented in the IRP</w:t>
      </w:r>
      <w:r w:rsidR="00354725" w:rsidRPr="003E2BB3">
        <w:rPr>
          <w:rFonts w:ascii="Arial" w:hAnsi="Arial" w:cs="Arial"/>
          <w:sz w:val="22"/>
          <w:szCs w:val="22"/>
        </w:rPr>
        <w:t xml:space="preserve">. </w:t>
      </w:r>
      <w:r w:rsidRPr="003E2BB3">
        <w:rPr>
          <w:rFonts w:ascii="Arial" w:hAnsi="Arial" w:cs="Arial"/>
          <w:b/>
          <w:sz w:val="22"/>
          <w:szCs w:val="22"/>
        </w:rPr>
        <w:t xml:space="preserve">COMMERCE recommends that utilities report </w:t>
      </w:r>
      <w:r w:rsidR="008A1481" w:rsidRPr="003E2BB3">
        <w:rPr>
          <w:rFonts w:ascii="Arial" w:hAnsi="Arial" w:cs="Arial"/>
          <w:b/>
          <w:sz w:val="22"/>
          <w:szCs w:val="22"/>
        </w:rPr>
        <w:t>a weather adjusted load</w:t>
      </w:r>
      <w:r w:rsidRPr="003E2BB3">
        <w:rPr>
          <w:rFonts w:ascii="Arial" w:hAnsi="Arial" w:cs="Arial"/>
          <w:b/>
          <w:sz w:val="22"/>
          <w:szCs w:val="22"/>
        </w:rPr>
        <w:t xml:space="preserve"> for the base year. </w:t>
      </w:r>
      <w:r w:rsidRPr="003E2BB3">
        <w:rPr>
          <w:rFonts w:ascii="Arial" w:hAnsi="Arial" w:cs="Arial"/>
          <w:sz w:val="22"/>
          <w:szCs w:val="22"/>
        </w:rPr>
        <w:t>This will provide more consistent reporting between the base year, five year and ten year estimates. This will also provide more consistent reporting across the state.</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sz w:val="22"/>
          <w:szCs w:val="22"/>
        </w:rPr>
      </w:pPr>
      <w:r w:rsidRPr="003E2BB3">
        <w:rPr>
          <w:rFonts w:ascii="Arial" w:hAnsi="Arial" w:cs="Arial"/>
          <w:b/>
          <w:sz w:val="22"/>
          <w:szCs w:val="22"/>
        </w:rPr>
        <w:t>Five and Ten Year Loads</w:t>
      </w:r>
      <w:r w:rsidRPr="003E2BB3">
        <w:rPr>
          <w:rFonts w:ascii="Arial" w:hAnsi="Arial" w:cs="Arial"/>
          <w:sz w:val="22"/>
          <w:szCs w:val="22"/>
        </w:rPr>
        <w:t xml:space="preserve"> </w:t>
      </w:r>
    </w:p>
    <w:p w:rsidR="00C73565" w:rsidRPr="003E2BB3" w:rsidRDefault="00C73565" w:rsidP="009D6A70">
      <w:pPr>
        <w:ind w:left="720"/>
        <w:rPr>
          <w:rFonts w:ascii="Arial" w:hAnsi="Arial" w:cs="Arial"/>
          <w:sz w:val="22"/>
          <w:szCs w:val="22"/>
        </w:rPr>
      </w:pPr>
      <w:r w:rsidRPr="003E2BB3">
        <w:rPr>
          <w:rFonts w:ascii="Arial" w:hAnsi="Arial" w:cs="Arial"/>
          <w:sz w:val="22"/>
          <w:szCs w:val="22"/>
        </w:rPr>
        <w:t>On the cover sheet</w:t>
      </w:r>
      <w:r w:rsidR="00354725" w:rsidRPr="003E2BB3">
        <w:rPr>
          <w:rFonts w:ascii="Arial" w:hAnsi="Arial" w:cs="Arial"/>
          <w:sz w:val="22"/>
          <w:szCs w:val="22"/>
        </w:rPr>
        <w:t>,</w:t>
      </w:r>
      <w:r w:rsidRPr="003E2BB3">
        <w:rPr>
          <w:rFonts w:ascii="Arial" w:hAnsi="Arial" w:cs="Arial"/>
          <w:sz w:val="22"/>
          <w:szCs w:val="22"/>
        </w:rPr>
        <w:t xml:space="preserve"> record the weather adjusted loads for the five and ten year increments.  </w:t>
      </w:r>
    </w:p>
    <w:p w:rsidR="00C73565" w:rsidRPr="003E2BB3" w:rsidRDefault="00C73565" w:rsidP="009D6A70">
      <w:pPr>
        <w:ind w:left="720"/>
        <w:rPr>
          <w:rFonts w:ascii="Arial" w:hAnsi="Arial" w:cs="Arial"/>
          <w:sz w:val="22"/>
          <w:szCs w:val="22"/>
        </w:rPr>
      </w:pPr>
    </w:p>
    <w:p w:rsidR="00C73565" w:rsidRPr="003E2BB3" w:rsidRDefault="00C73565" w:rsidP="009D6A70">
      <w:pPr>
        <w:ind w:left="720"/>
        <w:rPr>
          <w:rFonts w:ascii="Arial" w:hAnsi="Arial" w:cs="Arial"/>
          <w:sz w:val="22"/>
          <w:szCs w:val="22"/>
        </w:rPr>
      </w:pPr>
      <w:r w:rsidRPr="003E2BB3">
        <w:rPr>
          <w:rFonts w:ascii="Arial" w:hAnsi="Arial" w:cs="Arial"/>
          <w:sz w:val="22"/>
          <w:szCs w:val="22"/>
        </w:rPr>
        <w:lastRenderedPageBreak/>
        <w:t>All loads are before estimated reductions from conservation programs or demand reduction program estimates</w:t>
      </w:r>
      <w:r w:rsidR="00354725" w:rsidRPr="003E2BB3">
        <w:rPr>
          <w:rFonts w:ascii="Arial" w:hAnsi="Arial" w:cs="Arial"/>
          <w:sz w:val="22"/>
          <w:szCs w:val="22"/>
        </w:rPr>
        <w:t xml:space="preserve">. </w:t>
      </w:r>
      <w:r w:rsidRPr="003E2BB3">
        <w:rPr>
          <w:rFonts w:ascii="Arial" w:hAnsi="Arial" w:cs="Arial"/>
          <w:sz w:val="22"/>
          <w:szCs w:val="22"/>
        </w:rPr>
        <w:t xml:space="preserve">Conservation and demand response is treated as a resource to meet load. </w:t>
      </w:r>
    </w:p>
    <w:p w:rsidR="00B22C26" w:rsidRPr="003E2BB3" w:rsidRDefault="00B22C26" w:rsidP="009D6A70">
      <w:pPr>
        <w:ind w:left="720"/>
        <w:rPr>
          <w:rFonts w:ascii="Arial" w:hAnsi="Arial" w:cs="Arial"/>
          <w:b/>
          <w:sz w:val="22"/>
          <w:szCs w:val="22"/>
        </w:rPr>
      </w:pPr>
    </w:p>
    <w:p w:rsidR="00C73565" w:rsidRPr="003E2BB3" w:rsidRDefault="00C73565" w:rsidP="009D6A70">
      <w:pPr>
        <w:ind w:left="720"/>
        <w:rPr>
          <w:rFonts w:ascii="Arial" w:hAnsi="Arial" w:cs="Arial"/>
          <w:b/>
          <w:sz w:val="22"/>
          <w:szCs w:val="22"/>
        </w:rPr>
      </w:pPr>
      <w:r w:rsidRPr="003E2BB3">
        <w:rPr>
          <w:rFonts w:ascii="Arial" w:hAnsi="Arial" w:cs="Arial"/>
          <w:b/>
          <w:sz w:val="22"/>
          <w:szCs w:val="22"/>
        </w:rPr>
        <w:t xml:space="preserve">The Base Year does not include conservation or demand reduction as a load or resource. </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Exports</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Exports have been included primarily to account for seasonal exchanges. Imports are listed as a resource below. Exports and imports should be detailed in the IRP. </w:t>
      </w:r>
    </w:p>
    <w:p w:rsidR="00C73565" w:rsidRPr="003E2BB3" w:rsidRDefault="00C73565" w:rsidP="00C73565">
      <w:pPr>
        <w:ind w:left="144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Resources (General)</w:t>
      </w:r>
    </w:p>
    <w:p w:rsidR="00C73565" w:rsidRPr="003E2BB3" w:rsidRDefault="00C73565" w:rsidP="009D6A70">
      <w:pPr>
        <w:ind w:left="720"/>
        <w:rPr>
          <w:rFonts w:ascii="Arial" w:hAnsi="Arial" w:cs="Arial"/>
          <w:sz w:val="22"/>
          <w:szCs w:val="22"/>
        </w:rPr>
      </w:pPr>
      <w:r w:rsidRPr="003E2BB3">
        <w:rPr>
          <w:rFonts w:ascii="Arial" w:hAnsi="Arial" w:cs="Arial"/>
          <w:sz w:val="22"/>
          <w:szCs w:val="22"/>
        </w:rPr>
        <w:t>Power purchases that are linked to a specific resource or type of resource should be included in the row for that specific resource type</w:t>
      </w:r>
      <w:r w:rsidR="00354725" w:rsidRPr="003E2BB3">
        <w:rPr>
          <w:rFonts w:ascii="Arial" w:hAnsi="Arial" w:cs="Arial"/>
          <w:sz w:val="22"/>
          <w:szCs w:val="22"/>
        </w:rPr>
        <w:t xml:space="preserve">. </w:t>
      </w:r>
      <w:r w:rsidRPr="003E2BB3">
        <w:rPr>
          <w:rFonts w:ascii="Arial" w:hAnsi="Arial" w:cs="Arial"/>
          <w:sz w:val="22"/>
          <w:szCs w:val="22"/>
        </w:rPr>
        <w:t>Unspecified resources should be included in Contracts (see below)</w:t>
      </w:r>
    </w:p>
    <w:p w:rsidR="00C73565" w:rsidRPr="003E2BB3" w:rsidRDefault="00C73565" w:rsidP="009D6A70">
      <w:pPr>
        <w:ind w:left="720"/>
        <w:rPr>
          <w:rFonts w:ascii="Arial" w:hAnsi="Arial" w:cs="Arial"/>
          <w:sz w:val="22"/>
          <w:szCs w:val="22"/>
        </w:rPr>
      </w:pPr>
    </w:p>
    <w:p w:rsidR="00C73565" w:rsidRPr="003E2BB3" w:rsidRDefault="00C73565" w:rsidP="009D6A70">
      <w:pPr>
        <w:ind w:left="720"/>
        <w:rPr>
          <w:rFonts w:ascii="Arial" w:hAnsi="Arial" w:cs="Arial"/>
          <w:sz w:val="22"/>
          <w:szCs w:val="22"/>
        </w:rPr>
      </w:pPr>
      <w:r w:rsidRPr="003E2BB3">
        <w:rPr>
          <w:rFonts w:ascii="Arial" w:hAnsi="Arial" w:cs="Arial"/>
          <w:sz w:val="22"/>
          <w:szCs w:val="22"/>
        </w:rPr>
        <w:t>Five and ten year increments, expected energy or capacity to be applied to load as estimated in the IRP.</w:t>
      </w:r>
    </w:p>
    <w:p w:rsidR="00C73565" w:rsidRPr="003E2BB3" w:rsidRDefault="00C73565" w:rsidP="00C73565">
      <w:pPr>
        <w:rPr>
          <w:rFonts w:ascii="Arial" w:hAnsi="Arial" w:cs="Arial"/>
          <w:b/>
          <w:sz w:val="22"/>
          <w:szCs w:val="22"/>
        </w:rPr>
      </w:pPr>
    </w:p>
    <w:p w:rsidR="00C73565" w:rsidRPr="003E2BB3" w:rsidRDefault="001375F5" w:rsidP="00C73565">
      <w:pPr>
        <w:rPr>
          <w:rFonts w:ascii="Arial" w:hAnsi="Arial" w:cs="Arial"/>
          <w:b/>
          <w:sz w:val="22"/>
          <w:szCs w:val="22"/>
        </w:rPr>
      </w:pPr>
      <w:r w:rsidRPr="003E2BB3">
        <w:rPr>
          <w:rFonts w:ascii="Arial" w:hAnsi="Arial" w:cs="Arial"/>
          <w:b/>
          <w:sz w:val="22"/>
          <w:szCs w:val="22"/>
        </w:rPr>
        <w:t xml:space="preserve">Future </w:t>
      </w:r>
      <w:r w:rsidR="00C73565" w:rsidRPr="003E2BB3">
        <w:rPr>
          <w:rFonts w:ascii="Arial" w:hAnsi="Arial" w:cs="Arial"/>
          <w:b/>
          <w:sz w:val="22"/>
          <w:szCs w:val="22"/>
        </w:rPr>
        <w:t>Conservation and Efficiency</w:t>
      </w:r>
    </w:p>
    <w:p w:rsidR="00103AB0" w:rsidRPr="003E2BB3" w:rsidRDefault="00103AB0" w:rsidP="009D6A70">
      <w:pPr>
        <w:ind w:left="720"/>
        <w:rPr>
          <w:rFonts w:ascii="Arial" w:hAnsi="Arial" w:cs="Arial"/>
          <w:sz w:val="22"/>
          <w:szCs w:val="22"/>
        </w:rPr>
      </w:pPr>
      <w:r w:rsidRPr="003E2BB3">
        <w:rPr>
          <w:rFonts w:ascii="Arial" w:hAnsi="Arial" w:cs="Arial"/>
          <w:sz w:val="22"/>
          <w:szCs w:val="22"/>
        </w:rPr>
        <w:t xml:space="preserve">Conservation and efficiency in the </w:t>
      </w:r>
      <w:r w:rsidRPr="003E2BB3">
        <w:rPr>
          <w:rFonts w:ascii="Arial" w:hAnsi="Arial" w:cs="Arial"/>
          <w:b/>
          <w:sz w:val="22"/>
          <w:szCs w:val="22"/>
        </w:rPr>
        <w:t xml:space="preserve">base </w:t>
      </w:r>
      <w:r w:rsidR="00354725" w:rsidRPr="003E2BB3">
        <w:rPr>
          <w:rFonts w:ascii="Arial" w:hAnsi="Arial" w:cs="Arial"/>
          <w:b/>
          <w:sz w:val="22"/>
          <w:szCs w:val="22"/>
        </w:rPr>
        <w:t>year</w:t>
      </w:r>
      <w:r w:rsidRPr="003E2BB3">
        <w:rPr>
          <w:rFonts w:ascii="Arial" w:hAnsi="Arial" w:cs="Arial"/>
          <w:sz w:val="22"/>
          <w:szCs w:val="22"/>
        </w:rPr>
        <w:t xml:space="preserve"> should be left at </w:t>
      </w:r>
      <w:r w:rsidRPr="003E2BB3">
        <w:rPr>
          <w:rFonts w:ascii="Arial" w:hAnsi="Arial" w:cs="Arial"/>
          <w:b/>
          <w:sz w:val="22"/>
          <w:szCs w:val="22"/>
        </w:rPr>
        <w:t>zero</w:t>
      </w:r>
      <w:r w:rsidR="00354725" w:rsidRPr="003E2BB3">
        <w:rPr>
          <w:rFonts w:ascii="Arial" w:hAnsi="Arial" w:cs="Arial"/>
          <w:sz w:val="22"/>
          <w:szCs w:val="22"/>
        </w:rPr>
        <w:t xml:space="preserve">. </w:t>
      </w:r>
      <w:r w:rsidRPr="003E2BB3">
        <w:rPr>
          <w:rFonts w:ascii="Arial" w:hAnsi="Arial" w:cs="Arial"/>
          <w:sz w:val="22"/>
          <w:szCs w:val="22"/>
        </w:rPr>
        <w:t>Only power resources that have served load should be reported in the base year.</w:t>
      </w:r>
      <w:r w:rsidR="00465C6A" w:rsidRPr="003E2BB3">
        <w:rPr>
          <w:rFonts w:ascii="Arial" w:hAnsi="Arial" w:cs="Arial"/>
          <w:sz w:val="22"/>
          <w:szCs w:val="22"/>
        </w:rPr>
        <w:t xml:space="preserve"> </w:t>
      </w:r>
    </w:p>
    <w:p w:rsidR="00103AB0" w:rsidRPr="003E2BB3" w:rsidRDefault="00103AB0" w:rsidP="009D6A70">
      <w:pPr>
        <w:ind w:left="720"/>
        <w:rPr>
          <w:rFonts w:ascii="Arial" w:hAnsi="Arial" w:cs="Arial"/>
          <w:sz w:val="22"/>
          <w:szCs w:val="22"/>
        </w:rPr>
      </w:pPr>
    </w:p>
    <w:p w:rsidR="00103AB0" w:rsidRPr="003E2BB3" w:rsidRDefault="00103AB0" w:rsidP="009D6A70">
      <w:pPr>
        <w:ind w:left="720"/>
        <w:rPr>
          <w:rFonts w:ascii="Arial" w:hAnsi="Arial" w:cs="Arial"/>
          <w:sz w:val="22"/>
          <w:szCs w:val="22"/>
        </w:rPr>
      </w:pPr>
      <w:r w:rsidRPr="003E2BB3">
        <w:rPr>
          <w:rFonts w:ascii="Arial" w:hAnsi="Arial" w:cs="Arial"/>
          <w:sz w:val="22"/>
          <w:szCs w:val="22"/>
        </w:rPr>
        <w:t xml:space="preserve">For the </w:t>
      </w:r>
      <w:r w:rsidRPr="003E2BB3">
        <w:rPr>
          <w:rFonts w:ascii="Arial" w:hAnsi="Arial" w:cs="Arial"/>
          <w:b/>
          <w:sz w:val="22"/>
          <w:szCs w:val="22"/>
        </w:rPr>
        <w:t>five and ten year estimates</w:t>
      </w:r>
      <w:r w:rsidRPr="003E2BB3">
        <w:rPr>
          <w:rFonts w:ascii="Arial" w:hAnsi="Arial" w:cs="Arial"/>
          <w:sz w:val="22"/>
          <w:szCs w:val="22"/>
        </w:rPr>
        <w:t xml:space="preserve">, summarize expected </w:t>
      </w:r>
      <w:r w:rsidR="00465C6A" w:rsidRPr="003E2BB3">
        <w:rPr>
          <w:rFonts w:ascii="Arial" w:hAnsi="Arial" w:cs="Arial"/>
          <w:sz w:val="22"/>
          <w:szCs w:val="22"/>
        </w:rPr>
        <w:t xml:space="preserve">annual </w:t>
      </w:r>
      <w:r w:rsidRPr="003E2BB3">
        <w:rPr>
          <w:rFonts w:ascii="Arial" w:hAnsi="Arial" w:cs="Arial"/>
          <w:sz w:val="22"/>
          <w:szCs w:val="22"/>
        </w:rPr>
        <w:t xml:space="preserve">energy savings from </w:t>
      </w:r>
      <w:r w:rsidR="00D91EFF" w:rsidRPr="003E2BB3">
        <w:rPr>
          <w:rFonts w:ascii="Arial" w:hAnsi="Arial" w:cs="Arial"/>
          <w:sz w:val="22"/>
          <w:szCs w:val="22"/>
        </w:rPr>
        <w:t>plan</w:t>
      </w:r>
      <w:r w:rsidR="00B94960" w:rsidRPr="003E2BB3">
        <w:rPr>
          <w:rFonts w:ascii="Arial" w:hAnsi="Arial" w:cs="Arial"/>
          <w:sz w:val="22"/>
          <w:szCs w:val="22"/>
        </w:rPr>
        <w:t xml:space="preserve">ned </w:t>
      </w:r>
      <w:r w:rsidR="00D91EFF" w:rsidRPr="003E2BB3">
        <w:rPr>
          <w:rFonts w:ascii="Arial" w:hAnsi="Arial" w:cs="Arial"/>
          <w:b/>
          <w:sz w:val="22"/>
          <w:szCs w:val="22"/>
        </w:rPr>
        <w:t>added</w:t>
      </w:r>
      <w:r w:rsidR="00D91EFF" w:rsidRPr="003E2BB3">
        <w:rPr>
          <w:rFonts w:ascii="Arial" w:hAnsi="Arial" w:cs="Arial"/>
          <w:sz w:val="22"/>
          <w:szCs w:val="22"/>
        </w:rPr>
        <w:t xml:space="preserve"> </w:t>
      </w:r>
      <w:r w:rsidR="00465C6A" w:rsidRPr="003E2BB3">
        <w:rPr>
          <w:rFonts w:ascii="Arial" w:hAnsi="Arial" w:cs="Arial"/>
          <w:sz w:val="22"/>
          <w:szCs w:val="22"/>
        </w:rPr>
        <w:t xml:space="preserve">conservation </w:t>
      </w:r>
      <w:r w:rsidRPr="003E2BB3">
        <w:rPr>
          <w:rFonts w:ascii="Arial" w:hAnsi="Arial" w:cs="Arial"/>
          <w:sz w:val="22"/>
          <w:szCs w:val="22"/>
        </w:rPr>
        <w:t xml:space="preserve">and efficiency </w:t>
      </w:r>
      <w:r w:rsidR="00465C6A" w:rsidRPr="003E2BB3">
        <w:rPr>
          <w:rFonts w:ascii="Arial" w:hAnsi="Arial" w:cs="Arial"/>
          <w:sz w:val="22"/>
          <w:szCs w:val="22"/>
        </w:rPr>
        <w:t>measures.</w:t>
      </w:r>
    </w:p>
    <w:p w:rsidR="00103AB0" w:rsidRPr="003E2BB3" w:rsidRDefault="00103AB0" w:rsidP="009D6A70">
      <w:pPr>
        <w:ind w:left="720"/>
        <w:rPr>
          <w:rFonts w:ascii="Arial" w:hAnsi="Arial" w:cs="Arial"/>
          <w:sz w:val="22"/>
          <w:szCs w:val="22"/>
        </w:rPr>
      </w:pPr>
    </w:p>
    <w:p w:rsidR="00103AB0" w:rsidRPr="003E2BB3" w:rsidRDefault="00103AB0" w:rsidP="009D6A70">
      <w:pPr>
        <w:ind w:left="720"/>
        <w:rPr>
          <w:rFonts w:ascii="Arial" w:hAnsi="Arial" w:cs="Arial"/>
          <w:sz w:val="22"/>
          <w:szCs w:val="22"/>
        </w:rPr>
      </w:pPr>
      <w:r w:rsidRPr="003E2BB3">
        <w:rPr>
          <w:rFonts w:ascii="Arial" w:hAnsi="Arial" w:cs="Arial"/>
          <w:sz w:val="22"/>
          <w:szCs w:val="22"/>
        </w:rPr>
        <w:t xml:space="preserve">RCW 19.280.020 defines conservation and efficiency resources as “any reduction in electric power consumption that results from increases in the efficiency of energy use, production, transmission or distribution.”  </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Demand Response</w:t>
      </w:r>
    </w:p>
    <w:p w:rsidR="00C73565" w:rsidRPr="003E2BB3" w:rsidRDefault="00103AB0" w:rsidP="009D6A70">
      <w:pPr>
        <w:ind w:left="720"/>
        <w:rPr>
          <w:rFonts w:ascii="Arial" w:hAnsi="Arial" w:cs="Arial"/>
          <w:sz w:val="22"/>
          <w:szCs w:val="22"/>
        </w:rPr>
      </w:pPr>
      <w:r w:rsidRPr="003E2BB3">
        <w:rPr>
          <w:rFonts w:ascii="Arial" w:hAnsi="Arial" w:cs="Arial"/>
          <w:sz w:val="22"/>
          <w:szCs w:val="22"/>
        </w:rPr>
        <w:t>Demand Response</w:t>
      </w:r>
      <w:r w:rsidR="00C73565" w:rsidRPr="003E2BB3">
        <w:rPr>
          <w:rFonts w:ascii="Arial" w:hAnsi="Arial" w:cs="Arial"/>
          <w:sz w:val="22"/>
          <w:szCs w:val="22"/>
        </w:rPr>
        <w:t xml:space="preserve"> means temporary reductions in demand from customers who agree in advance to reduce their loads when called upon by the utility</w:t>
      </w:r>
      <w:r w:rsidR="00354725" w:rsidRPr="003E2BB3">
        <w:rPr>
          <w:rFonts w:ascii="Arial" w:hAnsi="Arial" w:cs="Arial"/>
          <w:sz w:val="22"/>
          <w:szCs w:val="22"/>
        </w:rPr>
        <w:t xml:space="preserve">. </w:t>
      </w:r>
      <w:r w:rsidR="00C73565" w:rsidRPr="003E2BB3">
        <w:rPr>
          <w:rFonts w:ascii="Arial" w:hAnsi="Arial" w:cs="Arial"/>
          <w:sz w:val="22"/>
          <w:szCs w:val="22"/>
        </w:rPr>
        <w:t>It is directed not at average costs and loads, but at peak and near-peak costs and loads. Savings from current and forecast demand response programs should be listed in the peak load columns.</w:t>
      </w:r>
    </w:p>
    <w:p w:rsidR="00C73565" w:rsidRPr="003E2BB3" w:rsidRDefault="00C73565" w:rsidP="009D6A70">
      <w:pPr>
        <w:ind w:left="720"/>
        <w:rPr>
          <w:rFonts w:ascii="Arial" w:hAnsi="Arial" w:cs="Arial"/>
          <w:sz w:val="22"/>
          <w:szCs w:val="22"/>
        </w:rPr>
      </w:pPr>
    </w:p>
    <w:p w:rsidR="00C73565" w:rsidRPr="003E2BB3" w:rsidRDefault="00103AB0" w:rsidP="009D6A70">
      <w:pPr>
        <w:ind w:left="720"/>
        <w:rPr>
          <w:rFonts w:ascii="Arial" w:hAnsi="Arial" w:cs="Arial"/>
          <w:sz w:val="22"/>
          <w:szCs w:val="22"/>
        </w:rPr>
      </w:pPr>
      <w:r w:rsidRPr="003E2BB3">
        <w:rPr>
          <w:rFonts w:ascii="Arial" w:hAnsi="Arial" w:cs="Arial"/>
          <w:b/>
          <w:sz w:val="22"/>
          <w:szCs w:val="22"/>
        </w:rPr>
        <w:t>Base Year</w:t>
      </w:r>
      <w:r w:rsidR="00C73565" w:rsidRPr="003E2BB3">
        <w:rPr>
          <w:rFonts w:ascii="Arial" w:hAnsi="Arial" w:cs="Arial"/>
          <w:sz w:val="22"/>
          <w:szCs w:val="22"/>
        </w:rPr>
        <w:t xml:space="preserve"> demand response should be blank.</w:t>
      </w:r>
    </w:p>
    <w:p w:rsidR="00C73565" w:rsidRPr="003E2BB3" w:rsidRDefault="00C73565" w:rsidP="00C73565">
      <w:pPr>
        <w:rPr>
          <w:rFonts w:ascii="Arial" w:hAnsi="Arial" w:cs="Arial"/>
          <w:b/>
          <w:sz w:val="22"/>
          <w:szCs w:val="22"/>
        </w:rPr>
      </w:pPr>
    </w:p>
    <w:p w:rsidR="00C73565" w:rsidRPr="003E2BB3" w:rsidRDefault="001375F5" w:rsidP="00C73565">
      <w:pPr>
        <w:rPr>
          <w:rFonts w:ascii="Arial" w:hAnsi="Arial" w:cs="Arial"/>
          <w:b/>
          <w:sz w:val="22"/>
          <w:szCs w:val="22"/>
        </w:rPr>
      </w:pPr>
      <w:r w:rsidRPr="003E2BB3">
        <w:rPr>
          <w:rFonts w:ascii="Arial" w:hAnsi="Arial" w:cs="Arial"/>
          <w:b/>
          <w:sz w:val="22"/>
          <w:szCs w:val="22"/>
        </w:rPr>
        <w:t>Co</w:t>
      </w:r>
      <w:r w:rsidR="00C73565" w:rsidRPr="003E2BB3">
        <w:rPr>
          <w:rFonts w:ascii="Arial" w:hAnsi="Arial" w:cs="Arial"/>
          <w:b/>
          <w:sz w:val="22"/>
          <w:szCs w:val="22"/>
        </w:rPr>
        <w:t>generation</w:t>
      </w:r>
    </w:p>
    <w:p w:rsidR="00C73565" w:rsidRPr="003E2BB3" w:rsidRDefault="001375F5" w:rsidP="009D6A70">
      <w:pPr>
        <w:autoSpaceDE w:val="0"/>
        <w:autoSpaceDN w:val="0"/>
        <w:adjustRightInd w:val="0"/>
        <w:ind w:left="720"/>
        <w:rPr>
          <w:rFonts w:ascii="Arial" w:hAnsi="Arial" w:cs="Arial"/>
          <w:sz w:val="22"/>
          <w:szCs w:val="22"/>
        </w:rPr>
      </w:pPr>
      <w:r w:rsidRPr="003E2BB3">
        <w:rPr>
          <w:rFonts w:ascii="Arial" w:hAnsi="Arial" w:cs="Arial"/>
          <w:sz w:val="22"/>
          <w:szCs w:val="22"/>
        </w:rPr>
        <w:t>19.280.020 RCW defines Co</w:t>
      </w:r>
      <w:r w:rsidR="00C73565" w:rsidRPr="003E2BB3">
        <w:rPr>
          <w:rFonts w:ascii="Arial" w:hAnsi="Arial" w:cs="Arial"/>
          <w:sz w:val="22"/>
          <w:szCs w:val="22"/>
        </w:rPr>
        <w:t>generation as ’the sequential production of electricity and useful thermal energy from a common fuel source.</w:t>
      </w:r>
      <w:r w:rsidR="00354725" w:rsidRPr="003E2BB3">
        <w:rPr>
          <w:rFonts w:ascii="Arial" w:hAnsi="Arial" w:cs="Arial"/>
          <w:sz w:val="22"/>
          <w:szCs w:val="22"/>
        </w:rPr>
        <w:t xml:space="preserve">” </w:t>
      </w:r>
      <w:r w:rsidR="00354725" w:rsidRPr="00752798">
        <w:rPr>
          <w:rFonts w:ascii="Arial" w:hAnsi="Arial" w:cs="Arial"/>
          <w:sz w:val="22"/>
          <w:szCs w:val="22"/>
        </w:rPr>
        <w:t>From</w:t>
      </w:r>
      <w:r w:rsidR="00C73565" w:rsidRPr="00752798">
        <w:rPr>
          <w:rFonts w:ascii="Arial" w:hAnsi="Arial" w:cs="Arial"/>
          <w:sz w:val="22"/>
          <w:szCs w:val="22"/>
        </w:rPr>
        <w:t xml:space="preserve"> the 5</w:t>
      </w:r>
      <w:r w:rsidR="00C73565" w:rsidRPr="00752798">
        <w:rPr>
          <w:rFonts w:ascii="Arial" w:hAnsi="Arial" w:cs="Arial"/>
          <w:sz w:val="22"/>
          <w:szCs w:val="22"/>
          <w:vertAlign w:val="superscript"/>
        </w:rPr>
        <w:t>th</w:t>
      </w:r>
      <w:r w:rsidR="00C73565" w:rsidRPr="00752798">
        <w:rPr>
          <w:rFonts w:ascii="Arial" w:hAnsi="Arial" w:cs="Arial"/>
          <w:sz w:val="22"/>
          <w:szCs w:val="22"/>
        </w:rPr>
        <w:t xml:space="preserve"> Northwest Power plan </w:t>
      </w:r>
      <w:r w:rsidRPr="00752798">
        <w:rPr>
          <w:rFonts w:ascii="Arial" w:hAnsi="Arial" w:cs="Arial"/>
          <w:sz w:val="22"/>
          <w:szCs w:val="22"/>
        </w:rPr>
        <w:t>Co</w:t>
      </w:r>
      <w:r w:rsidR="00C73565" w:rsidRPr="00752798">
        <w:rPr>
          <w:rFonts w:ascii="Arial" w:hAnsi="Arial" w:cs="Arial"/>
          <w:sz w:val="22"/>
          <w:szCs w:val="22"/>
        </w:rPr>
        <w:t>generation is defined as “</w:t>
      </w:r>
      <w:r w:rsidR="00C73565" w:rsidRPr="00752798">
        <w:rPr>
          <w:rFonts w:ascii="Arial" w:hAnsi="Arial" w:cs="Arial"/>
          <w:color w:val="000000"/>
          <w:sz w:val="22"/>
          <w:szCs w:val="22"/>
        </w:rPr>
        <w:t>Cogeneration is the joint production of electricity and useful thermal or mechanical energy for industrial process, space conditioning or hot water loads.</w:t>
      </w:r>
      <w:r w:rsidR="00354725" w:rsidRPr="00752798">
        <w:rPr>
          <w:rFonts w:ascii="Arial" w:hAnsi="Arial" w:cs="Arial"/>
          <w:color w:val="000000"/>
          <w:sz w:val="22"/>
          <w:szCs w:val="22"/>
        </w:rPr>
        <w:t xml:space="preserve">” </w:t>
      </w:r>
      <w:r w:rsidR="00C73565" w:rsidRPr="00752798">
        <w:rPr>
          <w:rFonts w:ascii="Arial" w:hAnsi="Arial" w:cs="Arial"/>
          <w:color w:val="000000"/>
          <w:sz w:val="22"/>
          <w:szCs w:val="22"/>
        </w:rPr>
        <w:t>F</w:t>
      </w:r>
      <w:r w:rsidR="00C73565" w:rsidRPr="00752798">
        <w:rPr>
          <w:rFonts w:ascii="Arial" w:hAnsi="Arial" w:cs="Arial"/>
          <w:sz w:val="22"/>
          <w:szCs w:val="22"/>
        </w:rPr>
        <w:t>or the purposes of this report co-generation can either result in a reduction in</w:t>
      </w:r>
      <w:r w:rsidR="00C73565" w:rsidRPr="003E2BB3">
        <w:rPr>
          <w:rFonts w:ascii="Arial" w:hAnsi="Arial" w:cs="Arial"/>
          <w:sz w:val="22"/>
          <w:szCs w:val="22"/>
        </w:rPr>
        <w:t xml:space="preserve"> load at a specific customer’s site—e.g. a pulp mill—in which as it can be counted as conservation, or the utility can purchase the output from the industrial customer and use it meet other loads, in which case it can be reported as a resource.</w:t>
      </w:r>
    </w:p>
    <w:p w:rsidR="00C73565" w:rsidRPr="003E2BB3" w:rsidRDefault="00C73565" w:rsidP="008B400A">
      <w:pPr>
        <w:rPr>
          <w:rFonts w:ascii="Arial" w:hAnsi="Arial" w:cs="Arial"/>
          <w:sz w:val="22"/>
          <w:szCs w:val="22"/>
        </w:rPr>
      </w:pPr>
    </w:p>
    <w:p w:rsidR="00C73565" w:rsidRPr="003E2BB3" w:rsidRDefault="00C73565" w:rsidP="009D6A70">
      <w:pPr>
        <w:autoSpaceDE w:val="0"/>
        <w:autoSpaceDN w:val="0"/>
        <w:adjustRightInd w:val="0"/>
        <w:ind w:left="720"/>
        <w:rPr>
          <w:rFonts w:ascii="Arial" w:hAnsi="Arial" w:cs="Arial"/>
          <w:sz w:val="22"/>
          <w:szCs w:val="22"/>
        </w:rPr>
      </w:pPr>
      <w:r w:rsidRPr="003E2BB3">
        <w:rPr>
          <w:rFonts w:ascii="Arial" w:hAnsi="Arial" w:cs="Arial"/>
          <w:sz w:val="22"/>
          <w:szCs w:val="22"/>
        </w:rPr>
        <w:t>Utilities reporting cogeneration as defined under the Energy Independence Act, (I-937</w:t>
      </w:r>
      <w:r w:rsidRPr="003E2BB3">
        <w:rPr>
          <w:rFonts w:ascii="Arial" w:hAnsi="Arial" w:cs="Arial"/>
          <w:bCs/>
          <w:sz w:val="22"/>
          <w:szCs w:val="22"/>
        </w:rPr>
        <w:t>) may categorize the resource differently</w:t>
      </w:r>
      <w:r w:rsidR="00354725" w:rsidRPr="003E2BB3">
        <w:rPr>
          <w:rFonts w:ascii="Arial" w:hAnsi="Arial" w:cs="Arial"/>
          <w:bCs/>
          <w:sz w:val="22"/>
          <w:szCs w:val="22"/>
        </w:rPr>
        <w:t xml:space="preserve">. </w:t>
      </w:r>
      <w:r w:rsidRPr="003E2BB3">
        <w:rPr>
          <w:rFonts w:ascii="Arial" w:hAnsi="Arial" w:cs="Arial"/>
          <w:bCs/>
          <w:sz w:val="22"/>
          <w:szCs w:val="22"/>
        </w:rPr>
        <w:t xml:space="preserve">During the first year, if the energy is used by the generating facility, it may be categorized as conservation. If the cogeneration facility uses qualifying fuel types, it may be categorized as a renewable. </w:t>
      </w:r>
      <w:r w:rsidRPr="003E2BB3">
        <w:rPr>
          <w:rFonts w:ascii="Arial" w:hAnsi="Arial" w:cs="Arial"/>
          <w:sz w:val="22"/>
          <w:szCs w:val="22"/>
        </w:rPr>
        <w:t xml:space="preserve">For those utilities subject to </w:t>
      </w:r>
      <w:r w:rsidRPr="003E2BB3">
        <w:rPr>
          <w:rFonts w:ascii="Arial" w:hAnsi="Arial" w:cs="Arial"/>
          <w:bCs/>
          <w:sz w:val="22"/>
          <w:szCs w:val="22"/>
        </w:rPr>
        <w:t>the Energy Independence Act</w:t>
      </w:r>
      <w:r w:rsidRPr="003E2BB3">
        <w:rPr>
          <w:rFonts w:ascii="Arial" w:hAnsi="Arial" w:cs="Arial"/>
          <w:sz w:val="22"/>
          <w:szCs w:val="22"/>
        </w:rPr>
        <w:t xml:space="preserve">, if the IRP is to be consistent with the </w:t>
      </w:r>
      <w:r w:rsidRPr="003E2BB3">
        <w:rPr>
          <w:rFonts w:ascii="Arial" w:hAnsi="Arial" w:cs="Arial"/>
          <w:bCs/>
          <w:sz w:val="22"/>
          <w:szCs w:val="22"/>
        </w:rPr>
        <w:t xml:space="preserve">act, </w:t>
      </w:r>
      <w:r w:rsidRPr="003E2BB3">
        <w:rPr>
          <w:rFonts w:ascii="Arial" w:hAnsi="Arial" w:cs="Arial"/>
          <w:sz w:val="22"/>
          <w:szCs w:val="22"/>
        </w:rPr>
        <w:t xml:space="preserve">definitions in the act should be used. </w:t>
      </w:r>
    </w:p>
    <w:p w:rsidR="00C73565" w:rsidRPr="003E2BB3" w:rsidRDefault="00C73565" w:rsidP="00C73565">
      <w:pPr>
        <w:ind w:left="1440"/>
        <w:rPr>
          <w:rFonts w:ascii="Arial" w:hAnsi="Arial" w:cs="Arial"/>
          <w:sz w:val="22"/>
          <w:szCs w:val="22"/>
        </w:rPr>
      </w:pPr>
      <w:r w:rsidRPr="003E2BB3">
        <w:rPr>
          <w:rFonts w:ascii="Arial" w:hAnsi="Arial" w:cs="Arial"/>
          <w:sz w:val="22"/>
          <w:szCs w:val="22"/>
        </w:rPr>
        <w:lastRenderedPageBreak/>
        <w:t xml:space="preserve"> </w:t>
      </w:r>
    </w:p>
    <w:p w:rsidR="00C73565" w:rsidRPr="003E2BB3" w:rsidRDefault="00C73565" w:rsidP="00C73565">
      <w:pPr>
        <w:rPr>
          <w:rFonts w:ascii="Arial" w:hAnsi="Arial" w:cs="Arial"/>
          <w:b/>
          <w:sz w:val="22"/>
          <w:szCs w:val="22"/>
        </w:rPr>
      </w:pPr>
      <w:r w:rsidRPr="003E2BB3">
        <w:rPr>
          <w:rFonts w:ascii="Arial" w:hAnsi="Arial" w:cs="Arial"/>
          <w:b/>
          <w:sz w:val="22"/>
          <w:szCs w:val="22"/>
        </w:rPr>
        <w:t>Hydro (critical)</w:t>
      </w:r>
    </w:p>
    <w:p w:rsidR="00C73565" w:rsidRPr="003E2BB3" w:rsidRDefault="00C73565" w:rsidP="009D6A70">
      <w:pPr>
        <w:ind w:left="720"/>
        <w:rPr>
          <w:rFonts w:ascii="Arial" w:hAnsi="Arial" w:cs="Arial"/>
          <w:sz w:val="22"/>
          <w:szCs w:val="22"/>
        </w:rPr>
      </w:pPr>
      <w:r w:rsidRPr="003E2BB3">
        <w:rPr>
          <w:rFonts w:ascii="Arial" w:hAnsi="Arial" w:cs="Arial"/>
          <w:sz w:val="22"/>
          <w:szCs w:val="22"/>
        </w:rPr>
        <w:t>It is assumed that “critical water</w:t>
      </w:r>
      <w:r w:rsidR="00074BE0">
        <w:rPr>
          <w:rFonts w:ascii="Arial" w:hAnsi="Arial" w:cs="Arial"/>
          <w:sz w:val="22"/>
          <w:szCs w:val="22"/>
        </w:rPr>
        <w:t xml:space="preserve"> conditions</w:t>
      </w:r>
      <w:r w:rsidRPr="003E2BB3">
        <w:rPr>
          <w:rFonts w:ascii="Arial" w:hAnsi="Arial" w:cs="Arial"/>
          <w:sz w:val="22"/>
          <w:szCs w:val="22"/>
        </w:rPr>
        <w:t>” will be used. Utilities should specify if something else is used</w:t>
      </w:r>
      <w:r w:rsidR="00354725" w:rsidRPr="003E2BB3">
        <w:rPr>
          <w:rFonts w:ascii="Arial" w:hAnsi="Arial" w:cs="Arial"/>
          <w:sz w:val="22"/>
          <w:szCs w:val="22"/>
        </w:rPr>
        <w:t xml:space="preserve">. </w:t>
      </w:r>
      <w:r w:rsidRPr="003E2BB3">
        <w:rPr>
          <w:rFonts w:ascii="Arial" w:hAnsi="Arial" w:cs="Arial"/>
          <w:sz w:val="22"/>
          <w:szCs w:val="22"/>
        </w:rPr>
        <w:t>The critical water year should also be specified in the IRP.</w:t>
      </w:r>
    </w:p>
    <w:p w:rsidR="00C73565" w:rsidRPr="003E2BB3" w:rsidRDefault="00C73565" w:rsidP="00C73565">
      <w:pPr>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Wind</w:t>
      </w:r>
    </w:p>
    <w:p w:rsidR="00C73565" w:rsidRPr="003E2BB3" w:rsidRDefault="00C73565" w:rsidP="009D6A70">
      <w:pPr>
        <w:ind w:left="720"/>
        <w:rPr>
          <w:rFonts w:ascii="Arial" w:hAnsi="Arial" w:cs="Arial"/>
          <w:sz w:val="22"/>
          <w:szCs w:val="22"/>
        </w:rPr>
      </w:pPr>
      <w:r w:rsidRPr="003E2BB3">
        <w:rPr>
          <w:rFonts w:ascii="Arial" w:hAnsi="Arial" w:cs="Arial"/>
          <w:sz w:val="22"/>
          <w:szCs w:val="22"/>
        </w:rPr>
        <w:t>Base year wind data for capacity and energy may reflect actual experience, if available</w:t>
      </w:r>
      <w:r w:rsidR="00354725" w:rsidRPr="003E2BB3">
        <w:rPr>
          <w:rFonts w:ascii="Arial" w:hAnsi="Arial" w:cs="Arial"/>
          <w:sz w:val="22"/>
          <w:szCs w:val="22"/>
        </w:rPr>
        <w:t xml:space="preserve">. </w:t>
      </w:r>
      <w:r w:rsidRPr="003E2BB3">
        <w:rPr>
          <w:rFonts w:ascii="Arial" w:hAnsi="Arial" w:cs="Arial"/>
          <w:sz w:val="22"/>
          <w:szCs w:val="22"/>
        </w:rPr>
        <w:t>Five and Ten year entries can be estimated on anticipated wind sites and/or best available generic studies such as the Northwest Wind Integration Plan or the Northwest Resource Adequacy Forum</w:t>
      </w:r>
      <w:r w:rsidR="00354725" w:rsidRPr="003E2BB3">
        <w:rPr>
          <w:rFonts w:ascii="Arial" w:hAnsi="Arial" w:cs="Arial"/>
          <w:sz w:val="22"/>
          <w:szCs w:val="22"/>
        </w:rPr>
        <w:t xml:space="preserve">. </w:t>
      </w:r>
      <w:r w:rsidRPr="003E2BB3">
        <w:rPr>
          <w:rFonts w:ascii="Arial" w:hAnsi="Arial" w:cs="Arial"/>
          <w:sz w:val="22"/>
          <w:szCs w:val="22"/>
        </w:rPr>
        <w:t xml:space="preserve">As with all other resources, whatever is included in the IRP should be reported here. </w:t>
      </w:r>
    </w:p>
    <w:p w:rsidR="00C73565" w:rsidRPr="003E2BB3" w:rsidRDefault="00C73565" w:rsidP="00C73565">
      <w:pPr>
        <w:ind w:left="72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Other Renewables</w:t>
      </w:r>
    </w:p>
    <w:p w:rsidR="00C73565" w:rsidRPr="003E2BB3" w:rsidRDefault="00C73565" w:rsidP="009D6A70">
      <w:pPr>
        <w:ind w:left="720"/>
        <w:rPr>
          <w:rFonts w:ascii="Arial" w:hAnsi="Arial" w:cs="Arial"/>
          <w:sz w:val="22"/>
          <w:szCs w:val="22"/>
        </w:rPr>
      </w:pPr>
      <w:r w:rsidRPr="003E2BB3">
        <w:rPr>
          <w:rFonts w:ascii="Arial" w:hAnsi="Arial" w:cs="Arial"/>
          <w:sz w:val="22"/>
          <w:szCs w:val="22"/>
        </w:rPr>
        <w:t>RCW 19-280 list renewable resources as follows. “ …(c) solar energy, (d) geothermal energy, (e) landfill gas, (f) biomass energy utilizing animal waste, solid organic fuels from wood, forest or field residues or dedicated energy crops that do not include wood pieces that have been treated with chemical preservatives such as creosote, pentachlorophenol, or copper-chrome-arsenic; (g) by-products of pulping or wood manufacturing processes, including but not limited to bark, wood chips, sawdust, and lignin in spent pulping liquors; (h) ocean thermal, wave or tidal power; and (</w:t>
      </w:r>
      <w:proofErr w:type="spellStart"/>
      <w:r w:rsidRPr="003E2BB3">
        <w:rPr>
          <w:rFonts w:ascii="Arial" w:hAnsi="Arial" w:cs="Arial"/>
          <w:sz w:val="22"/>
          <w:szCs w:val="22"/>
        </w:rPr>
        <w:t>i</w:t>
      </w:r>
      <w:proofErr w:type="spellEnd"/>
      <w:r w:rsidRPr="003E2BB3">
        <w:rPr>
          <w:rFonts w:ascii="Arial" w:hAnsi="Arial" w:cs="Arial"/>
          <w:sz w:val="22"/>
          <w:szCs w:val="22"/>
        </w:rPr>
        <w:t>) gas from sewage treatment facilities.”</w:t>
      </w:r>
    </w:p>
    <w:p w:rsidR="00C73565" w:rsidRPr="003E2BB3" w:rsidRDefault="00C73565" w:rsidP="009D6A70">
      <w:pPr>
        <w:ind w:left="720"/>
        <w:rPr>
          <w:rFonts w:ascii="Arial" w:hAnsi="Arial" w:cs="Arial"/>
          <w:sz w:val="22"/>
          <w:szCs w:val="22"/>
        </w:rPr>
      </w:pP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Note: This definition, from </w:t>
      </w:r>
      <w:r w:rsidRPr="003E2BB3">
        <w:rPr>
          <w:rFonts w:ascii="Arial" w:hAnsi="Arial" w:cs="Arial"/>
          <w:bCs/>
          <w:sz w:val="22"/>
          <w:szCs w:val="22"/>
        </w:rPr>
        <w:t>19.280 RCW</w:t>
      </w:r>
      <w:r w:rsidRPr="003E2BB3">
        <w:rPr>
          <w:rFonts w:ascii="Arial" w:hAnsi="Arial" w:cs="Arial"/>
          <w:sz w:val="22"/>
          <w:szCs w:val="22"/>
        </w:rPr>
        <w:t xml:space="preserve">, varies in specific details from the definition of renewables in </w:t>
      </w:r>
      <w:r w:rsidRPr="003E2BB3">
        <w:rPr>
          <w:rFonts w:ascii="Arial" w:hAnsi="Arial" w:cs="Arial"/>
          <w:bCs/>
          <w:sz w:val="22"/>
          <w:szCs w:val="22"/>
        </w:rPr>
        <w:t xml:space="preserve">the Energy Independence Act (I-937). </w:t>
      </w:r>
      <w:r w:rsidRPr="003E2BB3">
        <w:rPr>
          <w:rFonts w:ascii="Arial" w:hAnsi="Arial" w:cs="Arial"/>
          <w:sz w:val="22"/>
          <w:szCs w:val="22"/>
        </w:rPr>
        <w:t xml:space="preserve"> </w:t>
      </w:r>
    </w:p>
    <w:p w:rsidR="00C73565" w:rsidRPr="003E2BB3" w:rsidRDefault="00C73565" w:rsidP="00C73565">
      <w:pPr>
        <w:ind w:left="720"/>
        <w:rPr>
          <w:rFonts w:ascii="Arial" w:hAnsi="Arial" w:cs="Arial"/>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 xml:space="preserve">Thermal: </w:t>
      </w:r>
      <w:r w:rsidR="001375F5" w:rsidRPr="003E2BB3">
        <w:rPr>
          <w:rFonts w:ascii="Arial" w:hAnsi="Arial" w:cs="Arial"/>
          <w:b/>
          <w:sz w:val="22"/>
          <w:szCs w:val="22"/>
        </w:rPr>
        <w:t xml:space="preserve">Natural </w:t>
      </w:r>
      <w:r w:rsidRPr="003E2BB3">
        <w:rPr>
          <w:rFonts w:ascii="Arial" w:hAnsi="Arial" w:cs="Arial"/>
          <w:b/>
          <w:sz w:val="22"/>
          <w:szCs w:val="22"/>
        </w:rPr>
        <w:t>Gas</w:t>
      </w:r>
    </w:p>
    <w:p w:rsidR="00C73565" w:rsidRPr="003E2BB3" w:rsidRDefault="00C73565" w:rsidP="009D6A70">
      <w:pPr>
        <w:ind w:left="720"/>
        <w:rPr>
          <w:rFonts w:ascii="Arial" w:hAnsi="Arial" w:cs="Arial"/>
          <w:b/>
          <w:sz w:val="22"/>
          <w:szCs w:val="22"/>
        </w:rPr>
      </w:pPr>
      <w:r w:rsidRPr="003E2BB3">
        <w:rPr>
          <w:rFonts w:ascii="Arial" w:hAnsi="Arial" w:cs="Arial"/>
          <w:sz w:val="22"/>
          <w:szCs w:val="22"/>
        </w:rPr>
        <w:t xml:space="preserve">Includes all gas generated resource including utility owned and long term contract purchases. </w:t>
      </w:r>
    </w:p>
    <w:p w:rsidR="00C73565" w:rsidRPr="003E2BB3" w:rsidRDefault="00C73565"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Thermal: Coal</w:t>
      </w:r>
    </w:p>
    <w:p w:rsidR="00C73565" w:rsidRPr="003E2BB3" w:rsidRDefault="00C73565" w:rsidP="00FE6A07">
      <w:pPr>
        <w:ind w:left="720"/>
        <w:rPr>
          <w:rFonts w:ascii="Arial" w:hAnsi="Arial" w:cs="Arial"/>
          <w:sz w:val="22"/>
          <w:szCs w:val="22"/>
        </w:rPr>
      </w:pPr>
      <w:r w:rsidRPr="003E2BB3">
        <w:rPr>
          <w:rFonts w:ascii="Arial" w:hAnsi="Arial" w:cs="Arial"/>
          <w:sz w:val="22"/>
          <w:szCs w:val="22"/>
        </w:rPr>
        <w:t>Includes all coal generated resource including utility owned and long term contract purchases.</w:t>
      </w:r>
    </w:p>
    <w:p w:rsidR="00B22C26" w:rsidRPr="003E2BB3" w:rsidRDefault="00B22C26" w:rsidP="00C73565">
      <w:pPr>
        <w:rPr>
          <w:rFonts w:ascii="Arial" w:hAnsi="Arial" w:cs="Arial"/>
          <w:b/>
          <w:sz w:val="22"/>
          <w:szCs w:val="22"/>
        </w:rPr>
      </w:pPr>
      <w:r w:rsidRPr="003E2BB3">
        <w:rPr>
          <w:rFonts w:ascii="Arial" w:hAnsi="Arial" w:cs="Arial"/>
          <w:b/>
          <w:sz w:val="22"/>
          <w:szCs w:val="22"/>
        </w:rPr>
        <w:t>BPA</w:t>
      </w:r>
    </w:p>
    <w:p w:rsidR="00B22C26" w:rsidRPr="003E2BB3" w:rsidRDefault="00561A26" w:rsidP="00B22C26">
      <w:pPr>
        <w:ind w:left="720"/>
        <w:rPr>
          <w:rFonts w:ascii="Arial" w:hAnsi="Arial" w:cs="Arial"/>
          <w:b/>
          <w:sz w:val="22"/>
          <w:szCs w:val="22"/>
        </w:rPr>
      </w:pPr>
      <w:r w:rsidRPr="003E2BB3">
        <w:rPr>
          <w:rFonts w:ascii="Arial" w:hAnsi="Arial" w:cs="Arial"/>
          <w:sz w:val="22"/>
          <w:szCs w:val="22"/>
        </w:rPr>
        <w:t>Combine all</w:t>
      </w:r>
      <w:r w:rsidR="00B22C26" w:rsidRPr="003E2BB3">
        <w:rPr>
          <w:rFonts w:ascii="Arial" w:hAnsi="Arial" w:cs="Arial"/>
          <w:sz w:val="22"/>
          <w:szCs w:val="22"/>
        </w:rPr>
        <w:t xml:space="preserve"> </w:t>
      </w:r>
      <w:r w:rsidR="001375F5" w:rsidRPr="003E2BB3">
        <w:rPr>
          <w:rFonts w:ascii="Arial" w:hAnsi="Arial" w:cs="Arial"/>
          <w:sz w:val="22"/>
          <w:szCs w:val="22"/>
        </w:rPr>
        <w:t xml:space="preserve">acquisitions from the </w:t>
      </w:r>
      <w:r w:rsidR="00B22C26" w:rsidRPr="003E2BB3">
        <w:rPr>
          <w:rFonts w:ascii="Arial" w:hAnsi="Arial" w:cs="Arial"/>
          <w:sz w:val="22"/>
          <w:szCs w:val="22"/>
        </w:rPr>
        <w:t>Bonneville</w:t>
      </w:r>
      <w:r w:rsidR="001375F5" w:rsidRPr="003E2BB3">
        <w:rPr>
          <w:rFonts w:ascii="Arial" w:hAnsi="Arial" w:cs="Arial"/>
          <w:sz w:val="22"/>
          <w:szCs w:val="22"/>
        </w:rPr>
        <w:t xml:space="preserve"> </w:t>
      </w:r>
      <w:r w:rsidR="00B22C26" w:rsidRPr="003E2BB3">
        <w:rPr>
          <w:rFonts w:ascii="Arial" w:hAnsi="Arial" w:cs="Arial"/>
          <w:sz w:val="22"/>
          <w:szCs w:val="22"/>
        </w:rPr>
        <w:t>Power Administration.</w:t>
      </w:r>
      <w:r w:rsidRPr="003E2BB3">
        <w:rPr>
          <w:rFonts w:ascii="Arial" w:hAnsi="Arial" w:cs="Arial"/>
          <w:sz w:val="22"/>
          <w:szCs w:val="22"/>
        </w:rPr>
        <w:t xml:space="preserve"> Exclude Tier 2 market purchases from 3</w:t>
      </w:r>
      <w:r w:rsidRPr="003E2BB3">
        <w:rPr>
          <w:rFonts w:ascii="Arial" w:hAnsi="Arial" w:cs="Arial"/>
          <w:sz w:val="22"/>
          <w:szCs w:val="22"/>
          <w:vertAlign w:val="superscript"/>
        </w:rPr>
        <w:t>rd</w:t>
      </w:r>
      <w:r w:rsidRPr="003E2BB3">
        <w:rPr>
          <w:rFonts w:ascii="Arial" w:hAnsi="Arial" w:cs="Arial"/>
          <w:sz w:val="22"/>
          <w:szCs w:val="22"/>
        </w:rPr>
        <w:t xml:space="preserve"> Party, non BPA sources. Tier 2 non-BPA market purchases should be included with Net Long Term or Net Short Term contracts.</w:t>
      </w:r>
    </w:p>
    <w:p w:rsidR="00B22C26" w:rsidRPr="003E2BB3" w:rsidRDefault="00B22C26"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Contracts</w:t>
      </w:r>
      <w:r w:rsidR="00EB0A9F">
        <w:rPr>
          <w:rFonts w:ascii="Arial" w:hAnsi="Arial" w:cs="Arial"/>
          <w:b/>
          <w:sz w:val="22"/>
          <w:szCs w:val="22"/>
        </w:rPr>
        <w:t xml:space="preserve"> for power resources</w:t>
      </w:r>
      <w:r w:rsidR="001375F5" w:rsidRPr="003E2BB3">
        <w:rPr>
          <w:rFonts w:ascii="Arial" w:hAnsi="Arial" w:cs="Arial"/>
          <w:b/>
          <w:sz w:val="22"/>
          <w:szCs w:val="22"/>
        </w:rPr>
        <w:t xml:space="preserve"> from unspecified sources</w:t>
      </w:r>
      <w:r w:rsidR="00EB0A9F">
        <w:rPr>
          <w:rFonts w:ascii="Arial" w:hAnsi="Arial" w:cs="Arial"/>
          <w:b/>
          <w:sz w:val="22"/>
          <w:szCs w:val="22"/>
        </w:rPr>
        <w:t xml:space="preserve"> (market power)</w:t>
      </w:r>
    </w:p>
    <w:p w:rsidR="00D967E7" w:rsidRPr="003E2BB3" w:rsidRDefault="00D967E7" w:rsidP="00C73565">
      <w:pPr>
        <w:rPr>
          <w:rFonts w:ascii="Arial" w:hAnsi="Arial" w:cs="Arial"/>
          <w:b/>
          <w:sz w:val="22"/>
          <w:szCs w:val="22"/>
        </w:rPr>
      </w:pPr>
    </w:p>
    <w:p w:rsidR="00C73565" w:rsidRPr="003E2BB3" w:rsidRDefault="00C73565" w:rsidP="009D6A70">
      <w:pPr>
        <w:ind w:left="720"/>
        <w:rPr>
          <w:rFonts w:ascii="Arial" w:hAnsi="Arial" w:cs="Arial"/>
          <w:sz w:val="22"/>
          <w:szCs w:val="22"/>
        </w:rPr>
      </w:pPr>
      <w:r w:rsidRPr="003E2BB3">
        <w:rPr>
          <w:rFonts w:ascii="Arial" w:hAnsi="Arial" w:cs="Arial"/>
          <w:b/>
          <w:sz w:val="22"/>
          <w:szCs w:val="22"/>
        </w:rPr>
        <w:t>Net long term contracts</w:t>
      </w:r>
      <w:r w:rsidRPr="003E2BB3">
        <w:rPr>
          <w:rFonts w:ascii="Arial" w:hAnsi="Arial" w:cs="Arial"/>
          <w:sz w:val="22"/>
          <w:szCs w:val="22"/>
        </w:rPr>
        <w:t xml:space="preserve"> (system purchases and sales) are the net energy or capacity that are resources that are obtained under agreements one year in length or longer and are not tied to specific resources.  The energy or capacity for specific resources acquired under long-term contracts should be included under those resources in the rows above.</w:t>
      </w:r>
    </w:p>
    <w:p w:rsidR="00C73565" w:rsidRPr="003E2BB3" w:rsidRDefault="00C73565" w:rsidP="008B400A">
      <w:pPr>
        <w:rPr>
          <w:rFonts w:ascii="Arial" w:hAnsi="Arial" w:cs="Arial"/>
          <w:b/>
          <w:sz w:val="22"/>
          <w:szCs w:val="22"/>
        </w:rPr>
      </w:pPr>
    </w:p>
    <w:p w:rsidR="00C73565" w:rsidRPr="003E2BB3" w:rsidRDefault="002A461B" w:rsidP="009D6A70">
      <w:pPr>
        <w:ind w:left="720"/>
        <w:rPr>
          <w:rFonts w:ascii="Arial" w:hAnsi="Arial" w:cs="Arial"/>
          <w:sz w:val="22"/>
          <w:szCs w:val="22"/>
        </w:rPr>
      </w:pPr>
      <w:r w:rsidRPr="003E2BB3">
        <w:rPr>
          <w:rFonts w:ascii="Arial" w:hAnsi="Arial" w:cs="Arial"/>
          <w:b/>
          <w:sz w:val="22"/>
          <w:szCs w:val="22"/>
        </w:rPr>
        <w:t>Net short-term contracts</w:t>
      </w:r>
      <w:r w:rsidR="00C73565" w:rsidRPr="003E2BB3">
        <w:rPr>
          <w:rFonts w:ascii="Arial" w:hAnsi="Arial" w:cs="Arial"/>
          <w:sz w:val="22"/>
          <w:szCs w:val="22"/>
        </w:rPr>
        <w:t xml:space="preserve"> are net purchases of capacity or energy for less than a year that are planned in order to meet load.</w:t>
      </w:r>
    </w:p>
    <w:p w:rsidR="002A461B" w:rsidRPr="003E2BB3" w:rsidRDefault="002A461B" w:rsidP="00EB0A9F">
      <w:pPr>
        <w:rPr>
          <w:rFonts w:ascii="Arial" w:hAnsi="Arial" w:cs="Arial"/>
          <w:b/>
          <w:sz w:val="22"/>
          <w:szCs w:val="22"/>
        </w:rPr>
      </w:pPr>
    </w:p>
    <w:p w:rsidR="00C73565" w:rsidRPr="003E2BB3" w:rsidRDefault="002A461B" w:rsidP="009D6A70">
      <w:pPr>
        <w:ind w:firstLine="720"/>
        <w:rPr>
          <w:rFonts w:ascii="Arial" w:hAnsi="Arial" w:cs="Arial"/>
          <w:sz w:val="22"/>
          <w:szCs w:val="22"/>
        </w:rPr>
      </w:pPr>
      <w:r w:rsidRPr="003E2BB3">
        <w:rPr>
          <w:rFonts w:ascii="Arial" w:hAnsi="Arial" w:cs="Arial"/>
          <w:b/>
          <w:sz w:val="22"/>
          <w:szCs w:val="22"/>
        </w:rPr>
        <w:t>Other</w:t>
      </w:r>
      <w:r w:rsidRPr="003E2BB3">
        <w:rPr>
          <w:rFonts w:ascii="Arial" w:hAnsi="Arial" w:cs="Arial"/>
          <w:sz w:val="22"/>
          <w:szCs w:val="22"/>
        </w:rPr>
        <w:t xml:space="preserve"> </w:t>
      </w:r>
      <w:r w:rsidR="00C73565" w:rsidRPr="003E2BB3">
        <w:rPr>
          <w:rFonts w:ascii="Arial" w:hAnsi="Arial" w:cs="Arial"/>
          <w:sz w:val="22"/>
          <w:szCs w:val="22"/>
        </w:rPr>
        <w:t xml:space="preserve">resources should be recorded here and detailed in the IRP. </w:t>
      </w:r>
    </w:p>
    <w:p w:rsidR="00E61CCC" w:rsidRPr="003E2BB3" w:rsidRDefault="00E61CCC" w:rsidP="00C73565">
      <w:pPr>
        <w:rPr>
          <w:rFonts w:ascii="Arial" w:hAnsi="Arial" w:cs="Arial"/>
          <w:b/>
          <w:sz w:val="22"/>
          <w:szCs w:val="22"/>
        </w:rPr>
      </w:pPr>
    </w:p>
    <w:p w:rsidR="00C73565" w:rsidRPr="003E2BB3" w:rsidRDefault="00C73565" w:rsidP="00C73565">
      <w:pPr>
        <w:rPr>
          <w:rFonts w:ascii="Arial" w:hAnsi="Arial" w:cs="Arial"/>
          <w:b/>
          <w:sz w:val="22"/>
          <w:szCs w:val="22"/>
        </w:rPr>
      </w:pPr>
      <w:r w:rsidRPr="003E2BB3">
        <w:rPr>
          <w:rFonts w:ascii="Arial" w:hAnsi="Arial" w:cs="Arial"/>
          <w:b/>
          <w:sz w:val="22"/>
          <w:szCs w:val="22"/>
        </w:rPr>
        <w:t>Imports</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Imports have been included primarily to account for seasonal exchanges. Imports should be detailed in the IRP. </w:t>
      </w:r>
    </w:p>
    <w:p w:rsidR="00750899" w:rsidRPr="003E2BB3" w:rsidRDefault="00750899" w:rsidP="009D6A70">
      <w:pPr>
        <w:ind w:left="720"/>
        <w:rPr>
          <w:rFonts w:ascii="Arial" w:hAnsi="Arial" w:cs="Arial"/>
          <w:sz w:val="22"/>
          <w:szCs w:val="22"/>
        </w:rPr>
      </w:pPr>
    </w:p>
    <w:p w:rsidR="00F53323" w:rsidRDefault="00F53323" w:rsidP="00750899">
      <w:pPr>
        <w:rPr>
          <w:rFonts w:ascii="Arial" w:hAnsi="Arial" w:cs="Arial"/>
          <w:b/>
          <w:sz w:val="22"/>
          <w:szCs w:val="22"/>
        </w:rPr>
      </w:pPr>
    </w:p>
    <w:p w:rsidR="00EB0A9F" w:rsidRDefault="00EB0A9F" w:rsidP="00750899">
      <w:pPr>
        <w:rPr>
          <w:rFonts w:ascii="Arial" w:hAnsi="Arial" w:cs="Arial"/>
          <w:b/>
          <w:sz w:val="22"/>
          <w:szCs w:val="22"/>
        </w:rPr>
      </w:pPr>
    </w:p>
    <w:p w:rsidR="00750899" w:rsidRPr="003E2BB3" w:rsidRDefault="00750899" w:rsidP="00750899">
      <w:pPr>
        <w:rPr>
          <w:rFonts w:ascii="Arial" w:hAnsi="Arial" w:cs="Arial"/>
          <w:b/>
          <w:sz w:val="22"/>
          <w:szCs w:val="22"/>
        </w:rPr>
      </w:pPr>
      <w:r w:rsidRPr="003E2BB3">
        <w:rPr>
          <w:rFonts w:ascii="Arial" w:hAnsi="Arial" w:cs="Arial"/>
          <w:b/>
          <w:sz w:val="22"/>
          <w:szCs w:val="22"/>
        </w:rPr>
        <w:lastRenderedPageBreak/>
        <w:t>Distributed Generation</w:t>
      </w:r>
    </w:p>
    <w:p w:rsidR="00750899" w:rsidRPr="003E2BB3" w:rsidRDefault="00C41C76" w:rsidP="00750899">
      <w:pPr>
        <w:ind w:left="720"/>
        <w:rPr>
          <w:rFonts w:ascii="Arial" w:hAnsi="Arial" w:cs="Arial"/>
          <w:sz w:val="22"/>
          <w:szCs w:val="22"/>
        </w:rPr>
      </w:pPr>
      <w:r w:rsidRPr="003E2BB3">
        <w:rPr>
          <w:rFonts w:ascii="Arial" w:hAnsi="Arial" w:cs="Arial"/>
          <w:sz w:val="22"/>
          <w:szCs w:val="22"/>
        </w:rPr>
        <w:t>This includes Distributed Generation sources as described in the Energy Independence Act: “an eligible renewable resource where the facility or any integrated cluster of generating units has a generating capacity of not more than five megawatts. Enter the total amount from such facilities or unit clusters. Identify the type of fuel sources in th</w:t>
      </w:r>
      <w:r w:rsidR="00FF5831" w:rsidRPr="003E2BB3">
        <w:rPr>
          <w:rFonts w:ascii="Arial" w:hAnsi="Arial" w:cs="Arial"/>
          <w:sz w:val="22"/>
          <w:szCs w:val="22"/>
        </w:rPr>
        <w:t>e</w:t>
      </w:r>
      <w:r w:rsidRPr="003E2BB3">
        <w:rPr>
          <w:rFonts w:ascii="Arial" w:hAnsi="Arial" w:cs="Arial"/>
          <w:sz w:val="22"/>
          <w:szCs w:val="22"/>
        </w:rPr>
        <w:t xml:space="preserve"> Notes section.</w:t>
      </w:r>
    </w:p>
    <w:p w:rsidR="00750899" w:rsidRPr="003E2BB3" w:rsidRDefault="00750899" w:rsidP="009D6A70">
      <w:pPr>
        <w:ind w:left="720"/>
        <w:rPr>
          <w:rFonts w:ascii="Arial" w:hAnsi="Arial" w:cs="Arial"/>
          <w:sz w:val="22"/>
          <w:szCs w:val="22"/>
        </w:rPr>
      </w:pPr>
    </w:p>
    <w:p w:rsidR="00750899" w:rsidRPr="003E2BB3" w:rsidRDefault="00750899" w:rsidP="00750899">
      <w:pPr>
        <w:rPr>
          <w:rFonts w:ascii="Arial" w:hAnsi="Arial" w:cs="Arial"/>
          <w:b/>
          <w:sz w:val="22"/>
          <w:szCs w:val="22"/>
        </w:rPr>
      </w:pPr>
      <w:r w:rsidRPr="003E2BB3">
        <w:rPr>
          <w:rFonts w:ascii="Arial" w:hAnsi="Arial" w:cs="Arial"/>
          <w:b/>
          <w:sz w:val="22"/>
          <w:szCs w:val="22"/>
        </w:rPr>
        <w:t>Undecided</w:t>
      </w:r>
    </w:p>
    <w:p w:rsidR="00750899" w:rsidRPr="003E2BB3" w:rsidRDefault="00750899" w:rsidP="00750899">
      <w:pPr>
        <w:ind w:left="720"/>
        <w:rPr>
          <w:rFonts w:ascii="Arial" w:hAnsi="Arial" w:cs="Arial"/>
          <w:sz w:val="22"/>
          <w:szCs w:val="22"/>
        </w:rPr>
      </w:pPr>
      <w:r w:rsidRPr="003E2BB3">
        <w:rPr>
          <w:rFonts w:ascii="Arial" w:hAnsi="Arial" w:cs="Arial"/>
          <w:sz w:val="22"/>
          <w:szCs w:val="22"/>
        </w:rPr>
        <w:t>Use this category to identify power that will be acquired from undetermined source</w:t>
      </w:r>
      <w:r w:rsidR="00FF5831" w:rsidRPr="003E2BB3">
        <w:rPr>
          <w:rFonts w:ascii="Arial" w:hAnsi="Arial" w:cs="Arial"/>
          <w:sz w:val="22"/>
          <w:szCs w:val="22"/>
        </w:rPr>
        <w:t>(s)</w:t>
      </w:r>
      <w:r w:rsidRPr="003E2BB3">
        <w:rPr>
          <w:rFonts w:ascii="Arial" w:hAnsi="Arial" w:cs="Arial"/>
          <w:sz w:val="22"/>
          <w:szCs w:val="22"/>
        </w:rPr>
        <w:t>.</w:t>
      </w:r>
    </w:p>
    <w:p w:rsidR="00750899" w:rsidRPr="003E2BB3" w:rsidRDefault="00750899" w:rsidP="00C73565">
      <w:pPr>
        <w:rPr>
          <w:rFonts w:ascii="Arial" w:hAnsi="Arial" w:cs="Arial"/>
          <w:b/>
          <w:sz w:val="22"/>
          <w:szCs w:val="22"/>
        </w:rPr>
      </w:pPr>
    </w:p>
    <w:p w:rsidR="00C73565" w:rsidRPr="003E2BB3" w:rsidRDefault="00D6064B" w:rsidP="00C73565">
      <w:pPr>
        <w:rPr>
          <w:rFonts w:ascii="Arial" w:hAnsi="Arial" w:cs="Arial"/>
          <w:b/>
          <w:sz w:val="22"/>
          <w:szCs w:val="22"/>
        </w:rPr>
      </w:pPr>
      <w:r w:rsidRPr="003E2BB3">
        <w:rPr>
          <w:rFonts w:ascii="Arial" w:hAnsi="Arial" w:cs="Arial"/>
          <w:b/>
          <w:sz w:val="22"/>
          <w:szCs w:val="22"/>
        </w:rPr>
        <w:t>Additional</w:t>
      </w:r>
      <w:r w:rsidR="00C73565" w:rsidRPr="003E2BB3">
        <w:rPr>
          <w:rFonts w:ascii="Arial" w:hAnsi="Arial" w:cs="Arial"/>
          <w:b/>
          <w:sz w:val="22"/>
          <w:szCs w:val="22"/>
        </w:rPr>
        <w:t xml:space="preserve"> Considerations</w:t>
      </w:r>
    </w:p>
    <w:p w:rsidR="00C73565" w:rsidRPr="003E2BB3" w:rsidRDefault="00C73565" w:rsidP="009D6A70">
      <w:pPr>
        <w:ind w:left="720"/>
        <w:rPr>
          <w:rFonts w:ascii="Arial" w:hAnsi="Arial" w:cs="Arial"/>
          <w:sz w:val="22"/>
          <w:szCs w:val="22"/>
        </w:rPr>
      </w:pPr>
      <w:r w:rsidRPr="003E2BB3">
        <w:rPr>
          <w:rFonts w:ascii="Arial" w:hAnsi="Arial" w:cs="Arial"/>
          <w:sz w:val="22"/>
          <w:szCs w:val="22"/>
        </w:rPr>
        <w:t xml:space="preserve">Utilities may include monthly load and resource in the IRP. </w:t>
      </w:r>
    </w:p>
    <w:p w:rsidR="00C73565" w:rsidRPr="003E2BB3" w:rsidRDefault="00C73565" w:rsidP="00C73565">
      <w:pPr>
        <w:rPr>
          <w:rFonts w:ascii="Arial" w:hAnsi="Arial" w:cs="Arial"/>
          <w:sz w:val="22"/>
          <w:szCs w:val="22"/>
        </w:rPr>
      </w:pPr>
    </w:p>
    <w:p w:rsidR="00C73565" w:rsidRPr="003E2BB3" w:rsidRDefault="00103AB0" w:rsidP="00C73565">
      <w:pPr>
        <w:rPr>
          <w:rFonts w:ascii="Arial" w:hAnsi="Arial" w:cs="Arial"/>
          <w:b/>
          <w:sz w:val="22"/>
          <w:szCs w:val="22"/>
        </w:rPr>
      </w:pPr>
      <w:r w:rsidRPr="003E2BB3">
        <w:rPr>
          <w:rFonts w:ascii="Arial" w:hAnsi="Arial" w:cs="Arial"/>
          <w:b/>
          <w:sz w:val="22"/>
          <w:szCs w:val="22"/>
        </w:rPr>
        <w:t xml:space="preserve">Total Resource and </w:t>
      </w:r>
      <w:r w:rsidR="00C73565" w:rsidRPr="003E2BB3">
        <w:rPr>
          <w:rFonts w:ascii="Arial" w:hAnsi="Arial" w:cs="Arial"/>
          <w:b/>
          <w:sz w:val="22"/>
          <w:szCs w:val="22"/>
        </w:rPr>
        <w:t>Load Resource Balance</w:t>
      </w:r>
    </w:p>
    <w:p w:rsidR="00103AB0" w:rsidRPr="003E2BB3" w:rsidRDefault="00103AB0" w:rsidP="009D6A70">
      <w:pPr>
        <w:ind w:left="720"/>
        <w:rPr>
          <w:rFonts w:ascii="Arial" w:hAnsi="Arial" w:cs="Arial"/>
          <w:b/>
          <w:sz w:val="22"/>
          <w:szCs w:val="22"/>
        </w:rPr>
      </w:pPr>
      <w:r w:rsidRPr="003E2BB3">
        <w:rPr>
          <w:rFonts w:ascii="Arial" w:hAnsi="Arial" w:cs="Arial"/>
          <w:sz w:val="22"/>
          <w:szCs w:val="22"/>
        </w:rPr>
        <w:t>Load Resource Balance is loads minus resources. These rows calculate automatically on the Cover Sheet Excel workbook template.</w:t>
      </w:r>
    </w:p>
    <w:p w:rsidR="00A122E3" w:rsidRPr="003E2BB3" w:rsidRDefault="00A122E3">
      <w:pPr>
        <w:rPr>
          <w:rFonts w:ascii="Arial" w:hAnsi="Arial" w:cs="Arial"/>
          <w:sz w:val="22"/>
          <w:szCs w:val="22"/>
        </w:rPr>
      </w:pPr>
    </w:p>
    <w:p w:rsidR="00460F2C" w:rsidRPr="003E2BB3" w:rsidRDefault="001375F5" w:rsidP="00460F2C">
      <w:pPr>
        <w:rPr>
          <w:rFonts w:ascii="Arial" w:hAnsi="Arial" w:cs="Arial"/>
          <w:b/>
          <w:bCs/>
          <w:sz w:val="22"/>
          <w:szCs w:val="22"/>
        </w:rPr>
      </w:pPr>
      <w:r w:rsidRPr="003E2BB3">
        <w:rPr>
          <w:rFonts w:ascii="Arial" w:hAnsi="Arial" w:cs="Arial"/>
          <w:b/>
          <w:bCs/>
          <w:sz w:val="22"/>
          <w:szCs w:val="22"/>
        </w:rPr>
        <w:t>For more information, contact:</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AA221F" w:rsidTr="00F53323">
        <w:tc>
          <w:tcPr>
            <w:tcW w:w="4230" w:type="dxa"/>
          </w:tcPr>
          <w:p w:rsidR="00AA221F" w:rsidRPr="003E2BB3" w:rsidRDefault="00F32274" w:rsidP="00F53323">
            <w:pPr>
              <w:ind w:left="-16"/>
              <w:rPr>
                <w:rFonts w:ascii="Arial" w:hAnsi="Arial" w:cs="Arial"/>
                <w:sz w:val="22"/>
                <w:szCs w:val="22"/>
              </w:rPr>
            </w:pPr>
            <w:r>
              <w:rPr>
                <w:rFonts w:ascii="Arial" w:hAnsi="Arial" w:cs="Arial"/>
                <w:sz w:val="22"/>
                <w:szCs w:val="22"/>
              </w:rPr>
              <w:t>Austin Scharff</w:t>
            </w:r>
          </w:p>
          <w:p w:rsidR="00AA221F" w:rsidRPr="003E2BB3" w:rsidRDefault="00AA221F" w:rsidP="00F53323">
            <w:pPr>
              <w:ind w:left="-16"/>
              <w:rPr>
                <w:rFonts w:ascii="Arial" w:hAnsi="Arial" w:cs="Arial"/>
                <w:sz w:val="22"/>
                <w:szCs w:val="22"/>
              </w:rPr>
            </w:pPr>
            <w:r w:rsidRPr="003E2BB3">
              <w:rPr>
                <w:rFonts w:ascii="Arial" w:hAnsi="Arial" w:cs="Arial"/>
                <w:sz w:val="22"/>
                <w:szCs w:val="22"/>
              </w:rPr>
              <w:t>State Energy Office</w:t>
            </w:r>
          </w:p>
          <w:p w:rsidR="00AA221F" w:rsidRPr="003E2BB3" w:rsidRDefault="00F32274" w:rsidP="00F53323">
            <w:pPr>
              <w:ind w:left="-16"/>
              <w:rPr>
                <w:rFonts w:ascii="Arial" w:hAnsi="Arial" w:cs="Arial"/>
                <w:sz w:val="22"/>
                <w:szCs w:val="22"/>
              </w:rPr>
            </w:pPr>
            <w:r>
              <w:rPr>
                <w:rFonts w:ascii="Arial" w:hAnsi="Arial" w:cs="Arial"/>
                <w:sz w:val="22"/>
                <w:szCs w:val="22"/>
              </w:rPr>
              <w:t>360-764-9632</w:t>
            </w:r>
          </w:p>
          <w:p w:rsidR="00AA221F" w:rsidRDefault="00B777EA" w:rsidP="00F32274">
            <w:pPr>
              <w:ind w:left="-16"/>
              <w:rPr>
                <w:rFonts w:ascii="Arial" w:hAnsi="Arial" w:cs="Arial"/>
                <w:sz w:val="22"/>
                <w:szCs w:val="22"/>
              </w:rPr>
            </w:pPr>
            <w:hyperlink r:id="rId11" w:history="1">
              <w:r w:rsidR="00F32274" w:rsidRPr="003D1B06">
                <w:rPr>
                  <w:rStyle w:val="Hyperlink"/>
                  <w:rFonts w:ascii="Arial" w:hAnsi="Arial" w:cs="Arial"/>
                  <w:sz w:val="22"/>
                  <w:szCs w:val="22"/>
                </w:rPr>
                <w:t>Austin.Scharff@commerce.wa.gov</w:t>
              </w:r>
            </w:hyperlink>
          </w:p>
        </w:tc>
      </w:tr>
    </w:tbl>
    <w:p w:rsidR="00F359A8" w:rsidRPr="003E2BB3" w:rsidRDefault="00F359A8" w:rsidP="00C41C76">
      <w:pPr>
        <w:ind w:left="720"/>
        <w:rPr>
          <w:rFonts w:ascii="Arial" w:hAnsi="Arial" w:cs="Arial"/>
          <w:sz w:val="22"/>
          <w:szCs w:val="22"/>
        </w:rPr>
      </w:pPr>
    </w:p>
    <w:sectPr w:rsidR="00F359A8" w:rsidRPr="003E2BB3" w:rsidSect="007873E2">
      <w:footerReference w:type="default" r:id="rId12"/>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1B" w:rsidRDefault="002A461B">
      <w:r>
        <w:separator/>
      </w:r>
    </w:p>
  </w:endnote>
  <w:endnote w:type="continuationSeparator" w:id="0">
    <w:p w:rsidR="002A461B" w:rsidRDefault="002A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1B" w:rsidRPr="007873E2" w:rsidRDefault="002A461B">
    <w:pPr>
      <w:pStyle w:val="Footer"/>
      <w:rPr>
        <w:rFonts w:asciiTheme="minorHAnsi" w:hAnsiTheme="minorHAnsi"/>
        <w:sz w:val="20"/>
        <w:szCs w:val="20"/>
      </w:rPr>
    </w:pPr>
    <w:r>
      <w:rPr>
        <w:rStyle w:val="PageNumber"/>
      </w:rPr>
      <w:tab/>
    </w:r>
    <w:r w:rsidR="009274FC" w:rsidRPr="007873E2">
      <w:rPr>
        <w:rStyle w:val="PageNumber"/>
        <w:rFonts w:asciiTheme="minorHAnsi" w:hAnsiTheme="minorHAnsi"/>
        <w:sz w:val="20"/>
        <w:szCs w:val="20"/>
      </w:rPr>
      <w:fldChar w:fldCharType="begin"/>
    </w:r>
    <w:r w:rsidRPr="007873E2">
      <w:rPr>
        <w:rStyle w:val="PageNumber"/>
        <w:rFonts w:asciiTheme="minorHAnsi" w:hAnsiTheme="minorHAnsi"/>
        <w:sz w:val="20"/>
        <w:szCs w:val="20"/>
      </w:rPr>
      <w:instrText xml:space="preserve"> PAGE </w:instrText>
    </w:r>
    <w:r w:rsidR="009274FC" w:rsidRPr="007873E2">
      <w:rPr>
        <w:rStyle w:val="PageNumber"/>
        <w:rFonts w:asciiTheme="minorHAnsi" w:hAnsiTheme="minorHAnsi"/>
        <w:sz w:val="20"/>
        <w:szCs w:val="20"/>
      </w:rPr>
      <w:fldChar w:fldCharType="separate"/>
    </w:r>
    <w:r w:rsidR="00B777EA">
      <w:rPr>
        <w:rStyle w:val="PageNumber"/>
        <w:rFonts w:asciiTheme="minorHAnsi" w:hAnsiTheme="minorHAnsi"/>
        <w:noProof/>
        <w:sz w:val="20"/>
        <w:szCs w:val="20"/>
      </w:rPr>
      <w:t>2</w:t>
    </w:r>
    <w:r w:rsidR="009274FC" w:rsidRPr="007873E2">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1B" w:rsidRDefault="002A461B">
      <w:r>
        <w:separator/>
      </w:r>
    </w:p>
  </w:footnote>
  <w:footnote w:type="continuationSeparator" w:id="0">
    <w:p w:rsidR="002A461B" w:rsidRDefault="002A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E67C1"/>
    <w:multiLevelType w:val="hybridMultilevel"/>
    <w:tmpl w:val="6C94C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8A5B47"/>
    <w:multiLevelType w:val="hybridMultilevel"/>
    <w:tmpl w:val="14044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792B36C1"/>
    <w:multiLevelType w:val="hybridMultilevel"/>
    <w:tmpl w:val="3FE8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65"/>
    <w:rsid w:val="00074BE0"/>
    <w:rsid w:val="0009731C"/>
    <w:rsid w:val="000F1775"/>
    <w:rsid w:val="00103AB0"/>
    <w:rsid w:val="00105E10"/>
    <w:rsid w:val="00132D87"/>
    <w:rsid w:val="001375F5"/>
    <w:rsid w:val="00140CC8"/>
    <w:rsid w:val="00154F49"/>
    <w:rsid w:val="001F4755"/>
    <w:rsid w:val="00241854"/>
    <w:rsid w:val="00264544"/>
    <w:rsid w:val="002769B4"/>
    <w:rsid w:val="002A461B"/>
    <w:rsid w:val="002C3487"/>
    <w:rsid w:val="002F15F4"/>
    <w:rsid w:val="00354725"/>
    <w:rsid w:val="0037013F"/>
    <w:rsid w:val="0039035F"/>
    <w:rsid w:val="003E2BB3"/>
    <w:rsid w:val="00460F2C"/>
    <w:rsid w:val="00465C6A"/>
    <w:rsid w:val="004844B0"/>
    <w:rsid w:val="00545982"/>
    <w:rsid w:val="00561A26"/>
    <w:rsid w:val="005634FE"/>
    <w:rsid w:val="00576FE3"/>
    <w:rsid w:val="00702343"/>
    <w:rsid w:val="00750899"/>
    <w:rsid w:val="00752798"/>
    <w:rsid w:val="007873E2"/>
    <w:rsid w:val="0080207B"/>
    <w:rsid w:val="00882BD8"/>
    <w:rsid w:val="008A1481"/>
    <w:rsid w:val="008A7831"/>
    <w:rsid w:val="008B400A"/>
    <w:rsid w:val="008F3514"/>
    <w:rsid w:val="009274FC"/>
    <w:rsid w:val="009927EF"/>
    <w:rsid w:val="00997070"/>
    <w:rsid w:val="009A5EBA"/>
    <w:rsid w:val="009D6A70"/>
    <w:rsid w:val="00A122E3"/>
    <w:rsid w:val="00A200F1"/>
    <w:rsid w:val="00A24A42"/>
    <w:rsid w:val="00A60D1D"/>
    <w:rsid w:val="00AA221F"/>
    <w:rsid w:val="00AF1BCD"/>
    <w:rsid w:val="00B22C26"/>
    <w:rsid w:val="00B777EA"/>
    <w:rsid w:val="00B937D1"/>
    <w:rsid w:val="00B94960"/>
    <w:rsid w:val="00C41C76"/>
    <w:rsid w:val="00C54B7C"/>
    <w:rsid w:val="00C73565"/>
    <w:rsid w:val="00C8455F"/>
    <w:rsid w:val="00CC0A69"/>
    <w:rsid w:val="00D6064B"/>
    <w:rsid w:val="00D91EFF"/>
    <w:rsid w:val="00D967E7"/>
    <w:rsid w:val="00DD1F7C"/>
    <w:rsid w:val="00E61CCC"/>
    <w:rsid w:val="00E80AD8"/>
    <w:rsid w:val="00EB0A9F"/>
    <w:rsid w:val="00EE47A8"/>
    <w:rsid w:val="00F32274"/>
    <w:rsid w:val="00F359A8"/>
    <w:rsid w:val="00F53323"/>
    <w:rsid w:val="00F90553"/>
    <w:rsid w:val="00FE6A07"/>
    <w:rsid w:val="00FE773B"/>
    <w:rsid w:val="00FF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97F9"/>
  <w15:docId w15:val="{974BA6F4-753D-433F-94BB-30B6F405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65"/>
    <w:rPr>
      <w:rFonts w:ascii="Times New Roman" w:eastAsia="Times New Roman" w:hAnsi="Times New Roman"/>
      <w:sz w:val="24"/>
      <w:szCs w:val="24"/>
    </w:rPr>
  </w:style>
  <w:style w:type="paragraph" w:styleId="Heading1">
    <w:name w:val="heading 1"/>
    <w:basedOn w:val="Normal"/>
    <w:next w:val="Normal"/>
    <w:link w:val="Heading1Char"/>
    <w:qFormat/>
    <w:rsid w:val="00C735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5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5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565"/>
    <w:rPr>
      <w:rFonts w:ascii="Arial" w:eastAsia="Times New Roman" w:hAnsi="Arial" w:cs="Arial"/>
      <w:b/>
      <w:bCs/>
      <w:kern w:val="32"/>
      <w:sz w:val="32"/>
      <w:szCs w:val="32"/>
    </w:rPr>
  </w:style>
  <w:style w:type="character" w:customStyle="1" w:styleId="Heading2Char">
    <w:name w:val="Heading 2 Char"/>
    <w:basedOn w:val="DefaultParagraphFont"/>
    <w:link w:val="Heading2"/>
    <w:rsid w:val="00C73565"/>
    <w:rPr>
      <w:rFonts w:ascii="Arial" w:eastAsia="Times New Roman" w:hAnsi="Arial" w:cs="Arial"/>
      <w:b/>
      <w:bCs/>
      <w:i/>
      <w:iCs/>
      <w:sz w:val="28"/>
      <w:szCs w:val="28"/>
    </w:rPr>
  </w:style>
  <w:style w:type="character" w:customStyle="1" w:styleId="Heading3Char">
    <w:name w:val="Heading 3 Char"/>
    <w:basedOn w:val="DefaultParagraphFont"/>
    <w:link w:val="Heading3"/>
    <w:rsid w:val="00C73565"/>
    <w:rPr>
      <w:rFonts w:ascii="Arial" w:eastAsia="Times New Roman" w:hAnsi="Arial" w:cs="Arial"/>
      <w:b/>
      <w:bCs/>
      <w:sz w:val="26"/>
      <w:szCs w:val="26"/>
    </w:rPr>
  </w:style>
  <w:style w:type="paragraph" w:styleId="Footer">
    <w:name w:val="footer"/>
    <w:basedOn w:val="Normal"/>
    <w:link w:val="FooterChar"/>
    <w:rsid w:val="00C73565"/>
    <w:pPr>
      <w:tabs>
        <w:tab w:val="center" w:pos="4320"/>
        <w:tab w:val="right" w:pos="8640"/>
      </w:tabs>
    </w:pPr>
  </w:style>
  <w:style w:type="character" w:customStyle="1" w:styleId="FooterChar">
    <w:name w:val="Footer Char"/>
    <w:basedOn w:val="DefaultParagraphFont"/>
    <w:link w:val="Footer"/>
    <w:rsid w:val="00C73565"/>
    <w:rPr>
      <w:rFonts w:ascii="Times New Roman" w:eastAsia="Times New Roman" w:hAnsi="Times New Roman" w:cs="Times New Roman"/>
      <w:sz w:val="24"/>
      <w:szCs w:val="24"/>
    </w:rPr>
  </w:style>
  <w:style w:type="character" w:styleId="PageNumber">
    <w:name w:val="page number"/>
    <w:basedOn w:val="DefaultParagraphFont"/>
    <w:rsid w:val="00C73565"/>
  </w:style>
  <w:style w:type="paragraph" w:styleId="BalloonText">
    <w:name w:val="Balloon Text"/>
    <w:basedOn w:val="Normal"/>
    <w:link w:val="BalloonTextChar"/>
    <w:uiPriority w:val="99"/>
    <w:semiHidden/>
    <w:unhideWhenUsed/>
    <w:rsid w:val="00F90553"/>
    <w:rPr>
      <w:rFonts w:ascii="Tahoma" w:hAnsi="Tahoma" w:cs="Tahoma"/>
      <w:sz w:val="16"/>
      <w:szCs w:val="16"/>
    </w:rPr>
  </w:style>
  <w:style w:type="character" w:customStyle="1" w:styleId="BalloonTextChar">
    <w:name w:val="Balloon Text Char"/>
    <w:basedOn w:val="DefaultParagraphFont"/>
    <w:link w:val="BalloonText"/>
    <w:uiPriority w:val="99"/>
    <w:semiHidden/>
    <w:rsid w:val="00F90553"/>
    <w:rPr>
      <w:rFonts w:ascii="Tahoma" w:eastAsia="Times New Roman" w:hAnsi="Tahoma" w:cs="Tahoma"/>
      <w:sz w:val="16"/>
      <w:szCs w:val="16"/>
    </w:rPr>
  </w:style>
  <w:style w:type="paragraph" w:styleId="ListParagraph">
    <w:name w:val="List Paragraph"/>
    <w:basedOn w:val="Normal"/>
    <w:uiPriority w:val="34"/>
    <w:qFormat/>
    <w:rsid w:val="00A60D1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634FE"/>
    <w:rPr>
      <w:strike w:val="0"/>
      <w:dstrike w:val="0"/>
      <w:color w:val="0066FF"/>
      <w:u w:val="none"/>
      <w:effect w:val="none"/>
    </w:rPr>
  </w:style>
  <w:style w:type="paragraph" w:styleId="Header">
    <w:name w:val="header"/>
    <w:basedOn w:val="Normal"/>
    <w:link w:val="HeaderChar"/>
    <w:uiPriority w:val="99"/>
    <w:semiHidden/>
    <w:unhideWhenUsed/>
    <w:rsid w:val="007873E2"/>
    <w:pPr>
      <w:tabs>
        <w:tab w:val="center" w:pos="4680"/>
        <w:tab w:val="right" w:pos="9360"/>
      </w:tabs>
    </w:pPr>
  </w:style>
  <w:style w:type="character" w:customStyle="1" w:styleId="HeaderChar">
    <w:name w:val="Header Char"/>
    <w:basedOn w:val="DefaultParagraphFont"/>
    <w:link w:val="Header"/>
    <w:uiPriority w:val="99"/>
    <w:semiHidden/>
    <w:rsid w:val="007873E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54725"/>
    <w:rPr>
      <w:color w:val="800080" w:themeColor="followedHyperlink"/>
      <w:u w:val="single"/>
    </w:rPr>
  </w:style>
  <w:style w:type="table" w:styleId="TableGrid">
    <w:name w:val="Table Grid"/>
    <w:basedOn w:val="TableNormal"/>
    <w:uiPriority w:val="59"/>
    <w:rsid w:val="00F5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202">
      <w:bodyDiv w:val="1"/>
      <w:marLeft w:val="0"/>
      <w:marRight w:val="0"/>
      <w:marTop w:val="0"/>
      <w:marBottom w:val="0"/>
      <w:divBdr>
        <w:top w:val="none" w:sz="0" w:space="0" w:color="auto"/>
        <w:left w:val="none" w:sz="0" w:space="0" w:color="auto"/>
        <w:bottom w:val="none" w:sz="0" w:space="0" w:color="auto"/>
        <w:right w:val="none" w:sz="0" w:space="0" w:color="auto"/>
      </w:divBdr>
    </w:div>
    <w:div w:id="204221688">
      <w:bodyDiv w:val="1"/>
      <w:marLeft w:val="0"/>
      <w:marRight w:val="0"/>
      <w:marTop w:val="0"/>
      <w:marBottom w:val="0"/>
      <w:divBdr>
        <w:top w:val="none" w:sz="0" w:space="0" w:color="auto"/>
        <w:left w:val="none" w:sz="0" w:space="0" w:color="auto"/>
        <w:bottom w:val="none" w:sz="0" w:space="0" w:color="auto"/>
        <w:right w:val="none" w:sz="0" w:space="0" w:color="auto"/>
      </w:divBdr>
    </w:div>
    <w:div w:id="265582629">
      <w:bodyDiv w:val="1"/>
      <w:marLeft w:val="0"/>
      <w:marRight w:val="0"/>
      <w:marTop w:val="0"/>
      <w:marBottom w:val="0"/>
      <w:divBdr>
        <w:top w:val="none" w:sz="0" w:space="0" w:color="auto"/>
        <w:left w:val="none" w:sz="0" w:space="0" w:color="auto"/>
        <w:bottom w:val="none" w:sz="0" w:space="0" w:color="auto"/>
        <w:right w:val="none" w:sz="0" w:space="0" w:color="auto"/>
      </w:divBdr>
    </w:div>
    <w:div w:id="978994104">
      <w:bodyDiv w:val="1"/>
      <w:marLeft w:val="0"/>
      <w:marRight w:val="0"/>
      <w:marTop w:val="0"/>
      <w:marBottom w:val="0"/>
      <w:divBdr>
        <w:top w:val="none" w:sz="0" w:space="0" w:color="auto"/>
        <w:left w:val="none" w:sz="0" w:space="0" w:color="auto"/>
        <w:bottom w:val="none" w:sz="0" w:space="0" w:color="auto"/>
        <w:right w:val="none" w:sz="0" w:space="0" w:color="auto"/>
      </w:divBdr>
    </w:div>
    <w:div w:id="1529026184">
      <w:bodyDiv w:val="1"/>
      <w:marLeft w:val="0"/>
      <w:marRight w:val="0"/>
      <w:marTop w:val="0"/>
      <w:marBottom w:val="0"/>
      <w:divBdr>
        <w:top w:val="none" w:sz="0" w:space="0" w:color="auto"/>
        <w:left w:val="none" w:sz="0" w:space="0" w:color="auto"/>
        <w:bottom w:val="none" w:sz="0" w:space="0" w:color="auto"/>
        <w:right w:val="none" w:sz="0" w:space="0" w:color="auto"/>
      </w:divBdr>
    </w:div>
    <w:div w:id="18099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9.2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tin.Scharff@commerce.wa.gov"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pp.leg.wa.gov/RCW/default.aspx?cite=19.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DB87-3B84-4071-AEB4-EB6CDDA1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CTED</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SVCcitrixCTED</dc:creator>
  <cp:lastModifiedBy>Austin Scharff</cp:lastModifiedBy>
  <cp:revision>6</cp:revision>
  <cp:lastPrinted>2012-06-14T22:05:00Z</cp:lastPrinted>
  <dcterms:created xsi:type="dcterms:W3CDTF">2022-06-21T21:37:00Z</dcterms:created>
  <dcterms:modified xsi:type="dcterms:W3CDTF">2022-07-11T18:55:00Z</dcterms:modified>
</cp:coreProperties>
</file>