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6F" w:rsidRPr="00064B6F" w:rsidRDefault="00064B6F" w:rsidP="00064B6F">
      <w:pPr>
        <w:pStyle w:val="xmsolistparagraph"/>
        <w:ind w:left="360"/>
        <w:jc w:val="center"/>
        <w:rPr>
          <w:rFonts w:eastAsia="Times New Roman"/>
          <w:b/>
          <w:sz w:val="28"/>
          <w:szCs w:val="28"/>
        </w:rPr>
      </w:pPr>
      <w:r w:rsidRPr="00064B6F">
        <w:rPr>
          <w:rFonts w:eastAsia="Times New Roman"/>
          <w:b/>
          <w:sz w:val="28"/>
          <w:szCs w:val="28"/>
        </w:rPr>
        <w:t>RFP No. 2020-11 – Audit 2020</w:t>
      </w:r>
    </w:p>
    <w:p w:rsidR="00064B6F" w:rsidRPr="00064B6F" w:rsidRDefault="00064B6F" w:rsidP="00064B6F">
      <w:pPr>
        <w:pStyle w:val="xmsolistparagraph"/>
        <w:ind w:left="360"/>
        <w:jc w:val="center"/>
        <w:rPr>
          <w:rFonts w:eastAsia="Times New Roman"/>
          <w:b/>
          <w:sz w:val="28"/>
          <w:szCs w:val="28"/>
        </w:rPr>
      </w:pPr>
      <w:r w:rsidRPr="00064B6F">
        <w:rPr>
          <w:rFonts w:eastAsia="Times New Roman"/>
          <w:b/>
          <w:sz w:val="28"/>
          <w:szCs w:val="28"/>
        </w:rPr>
        <w:t>Andy Hill Cancer Research Endowment</w:t>
      </w:r>
      <w:bookmarkStart w:id="0" w:name="_GoBack"/>
      <w:bookmarkEnd w:id="0"/>
    </w:p>
    <w:p w:rsidR="00064B6F" w:rsidRPr="00064B6F" w:rsidRDefault="00064B6F" w:rsidP="00064B6F">
      <w:pPr>
        <w:pStyle w:val="xmsolistparagraph"/>
        <w:ind w:left="360"/>
        <w:jc w:val="center"/>
        <w:rPr>
          <w:rFonts w:eastAsia="Times New Roman"/>
          <w:b/>
          <w:sz w:val="28"/>
          <w:szCs w:val="28"/>
        </w:rPr>
      </w:pPr>
      <w:r w:rsidRPr="00064B6F">
        <w:rPr>
          <w:rFonts w:eastAsia="Times New Roman"/>
          <w:b/>
          <w:sz w:val="28"/>
          <w:szCs w:val="28"/>
        </w:rPr>
        <w:t>Question and Answers – Addendum 1</w:t>
      </w:r>
    </w:p>
    <w:p w:rsidR="00064B6F" w:rsidRDefault="00064B6F" w:rsidP="00064B6F">
      <w:pPr>
        <w:pStyle w:val="xmsolistparagraph"/>
        <w:ind w:left="360"/>
        <w:rPr>
          <w:rFonts w:eastAsia="Times New Roman"/>
        </w:rPr>
      </w:pPr>
    </w:p>
    <w:p w:rsidR="00064B6F" w:rsidRDefault="00064B6F" w:rsidP="00064B6F">
      <w:pPr>
        <w:pStyle w:val="xmsolistparagraph"/>
        <w:ind w:left="360"/>
        <w:rPr>
          <w:rFonts w:eastAsia="Times New Roman"/>
        </w:rPr>
      </w:pPr>
      <w:r>
        <w:rPr>
          <w:rFonts w:eastAsia="Times New Roman"/>
        </w:rPr>
        <w:t xml:space="preserve">1. </w:t>
      </w:r>
      <w:r>
        <w:rPr>
          <w:rFonts w:eastAsia="Times New Roman"/>
        </w:rPr>
        <w:tab/>
      </w:r>
      <w:r>
        <w:rPr>
          <w:rFonts w:eastAsia="Times New Roman"/>
        </w:rPr>
        <w:t xml:space="preserve">Would EHF be open to the audit being performed remotely due to COVID-19? </w:t>
      </w:r>
      <w:r>
        <w:rPr>
          <w:rFonts w:eastAsia="Times New Roman"/>
          <w:color w:val="FF0000"/>
        </w:rPr>
        <w:t>Yes.</w:t>
      </w:r>
    </w:p>
    <w:p w:rsidR="00064B6F" w:rsidRDefault="00064B6F" w:rsidP="00064B6F">
      <w:pPr>
        <w:pStyle w:val="xmsolistparagraph"/>
        <w:ind w:left="720" w:hanging="360"/>
        <w:rPr>
          <w:color w:val="FF0000"/>
        </w:rPr>
      </w:pPr>
      <w:r>
        <w:t>2.</w:t>
      </w:r>
      <w:r>
        <w:rPr>
          <w:sz w:val="14"/>
          <w:szCs w:val="14"/>
        </w:rPr>
        <w:t xml:space="preserve">      </w:t>
      </w:r>
      <w:proofErr w:type="gramStart"/>
      <w:r>
        <w:t>Is</w:t>
      </w:r>
      <w:proofErr w:type="gramEnd"/>
      <w:r>
        <w:t xml:space="preserve"> documentation related to grant awards and grants management available in electronic format? </w:t>
      </w:r>
      <w:r>
        <w:rPr>
          <w:color w:val="FF0000"/>
        </w:rPr>
        <w:t>Yes.</w:t>
      </w:r>
    </w:p>
    <w:p w:rsidR="00064B6F" w:rsidRDefault="00064B6F" w:rsidP="00064B6F">
      <w:pPr>
        <w:pStyle w:val="xmsolistparagraph"/>
        <w:ind w:left="720" w:hanging="360"/>
        <w:rPr>
          <w:color w:val="FF0000"/>
        </w:rPr>
      </w:pPr>
      <w:r>
        <w:t>3.</w:t>
      </w:r>
      <w:r>
        <w:rPr>
          <w:sz w:val="14"/>
          <w:szCs w:val="14"/>
        </w:rPr>
        <w:t xml:space="preserve">      </w:t>
      </w:r>
      <w:r>
        <w:t xml:space="preserve">Is documentation related to the Program Administrator’s execution of duties for the CARE Fund available in electronic format? </w:t>
      </w:r>
      <w:r>
        <w:rPr>
          <w:color w:val="FF0000"/>
        </w:rPr>
        <w:t>Yes.</w:t>
      </w:r>
    </w:p>
    <w:p w:rsidR="00064B6F" w:rsidRDefault="00064B6F" w:rsidP="00064B6F">
      <w:pPr>
        <w:pStyle w:val="xmsolistparagraph"/>
        <w:ind w:left="720" w:hanging="360"/>
        <w:rPr>
          <w:color w:val="FF0000"/>
        </w:rPr>
      </w:pPr>
      <w:r>
        <w:t>4.</w:t>
      </w:r>
      <w:r>
        <w:rPr>
          <w:sz w:val="14"/>
          <w:szCs w:val="14"/>
        </w:rPr>
        <w:t xml:space="preserve">      </w:t>
      </w:r>
      <w:r>
        <w:t xml:space="preserve">How many staff at the Program Administrator are responsible for performing duties related to the CARE Fund? </w:t>
      </w:r>
      <w:r>
        <w:rPr>
          <w:color w:val="FF0000"/>
        </w:rPr>
        <w:t>As of June 30, 2020, 3 FTE. Plus, shared services staff (small percentages of staff time) for backbone services such as finance and human resources.</w:t>
      </w:r>
    </w:p>
    <w:p w:rsidR="00064B6F" w:rsidRDefault="00064B6F" w:rsidP="00064B6F">
      <w:pPr>
        <w:pStyle w:val="xmsolistparagraph"/>
        <w:spacing w:beforeAutospacing="0" w:after="0" w:afterAutospacing="0"/>
        <w:ind w:left="720" w:hanging="360"/>
        <w:rPr>
          <w:color w:val="FF0000"/>
        </w:rPr>
      </w:pPr>
      <w:r>
        <w:t>5.</w:t>
      </w:r>
      <w:r>
        <w:rPr>
          <w:sz w:val="14"/>
          <w:szCs w:val="14"/>
        </w:rPr>
        <w:t xml:space="preserve">      </w:t>
      </w:r>
      <w:r>
        <w:t>When would EHF like to have the draft and final audit reports submitted?</w:t>
      </w:r>
      <w:r>
        <w:rPr>
          <w:color w:val="FF0000"/>
        </w:rPr>
        <w:t xml:space="preserve"> This may be negotiable, but our target dates are as follows:</w:t>
      </w:r>
    </w:p>
    <w:p w:rsidR="00064B6F" w:rsidRDefault="00064B6F" w:rsidP="00064B6F">
      <w:pPr>
        <w:pStyle w:val="xmsolistparagraph"/>
        <w:numPr>
          <w:ilvl w:val="1"/>
          <w:numId w:val="1"/>
        </w:numPr>
        <w:spacing w:before="60" w:beforeAutospacing="0" w:after="0" w:afterAutospacing="0"/>
        <w:rPr>
          <w:rFonts w:eastAsia="Times New Roman"/>
        </w:rPr>
      </w:pPr>
      <w:r>
        <w:rPr>
          <w:rFonts w:eastAsia="Times New Roman"/>
          <w:color w:val="FF0000"/>
        </w:rPr>
        <w:t>Draft Report due, 4/6/21</w:t>
      </w:r>
    </w:p>
    <w:p w:rsidR="00064B6F" w:rsidRDefault="00064B6F" w:rsidP="00064B6F">
      <w:pPr>
        <w:pStyle w:val="xmsolistparagraph"/>
        <w:numPr>
          <w:ilvl w:val="1"/>
          <w:numId w:val="1"/>
        </w:numPr>
        <w:spacing w:before="60" w:beforeAutospacing="0" w:after="0" w:afterAutospacing="0"/>
        <w:rPr>
          <w:rFonts w:eastAsia="Times New Roman"/>
        </w:rPr>
      </w:pPr>
      <w:r>
        <w:rPr>
          <w:rFonts w:eastAsia="Times New Roman"/>
          <w:color w:val="FF0000"/>
        </w:rPr>
        <w:t>Final Draft Report due, 4/27/21</w:t>
      </w:r>
    </w:p>
    <w:p w:rsidR="00064B6F" w:rsidRDefault="00064B6F" w:rsidP="00064B6F">
      <w:pPr>
        <w:pStyle w:val="xmsolistparagraph"/>
        <w:numPr>
          <w:ilvl w:val="1"/>
          <w:numId w:val="1"/>
        </w:numPr>
        <w:spacing w:before="60" w:beforeAutospacing="0" w:after="0" w:afterAutospacing="0"/>
        <w:rPr>
          <w:rFonts w:eastAsia="Times New Roman"/>
        </w:rPr>
      </w:pPr>
      <w:r>
        <w:rPr>
          <w:rFonts w:eastAsia="Times New Roman"/>
          <w:color w:val="FF0000"/>
        </w:rPr>
        <w:t>Presentation at board meeting, 6/9/21</w:t>
      </w:r>
    </w:p>
    <w:p w:rsidR="00064B6F" w:rsidRDefault="00064B6F" w:rsidP="00064B6F">
      <w:pPr>
        <w:pStyle w:val="xmsolistparagraph"/>
        <w:numPr>
          <w:ilvl w:val="1"/>
          <w:numId w:val="1"/>
        </w:numPr>
        <w:spacing w:before="60" w:beforeAutospacing="0" w:after="0" w:afterAutospacing="0"/>
        <w:rPr>
          <w:rFonts w:eastAsia="Times New Roman"/>
        </w:rPr>
      </w:pPr>
      <w:r>
        <w:rPr>
          <w:rFonts w:eastAsia="Times New Roman"/>
          <w:color w:val="FF0000"/>
        </w:rPr>
        <w:t>Final Report due, 6/23/21</w:t>
      </w:r>
    </w:p>
    <w:p w:rsidR="00064B6F" w:rsidRDefault="00064B6F" w:rsidP="00064B6F">
      <w:pPr>
        <w:pStyle w:val="xmsolistparagraph"/>
        <w:spacing w:beforeAutospacing="0" w:after="0" w:afterAutospacing="0"/>
        <w:ind w:left="720" w:hanging="360"/>
        <w:rPr>
          <w:color w:val="FF0000"/>
        </w:rPr>
      </w:pPr>
      <w:r>
        <w:t>6.</w:t>
      </w:r>
      <w:r>
        <w:rPr>
          <w:sz w:val="14"/>
          <w:szCs w:val="14"/>
        </w:rPr>
        <w:t xml:space="preserve">      </w:t>
      </w:r>
      <w:r>
        <w:t xml:space="preserve">There seems to be an overlap of requested information as noted below.  In order to avoid being repetitive, would it be sufficient to include responses to only Section 3.3, Paragraph B, number 3 and Paragraph D? </w:t>
      </w:r>
      <w:r>
        <w:rPr>
          <w:color w:val="FF0000"/>
        </w:rPr>
        <w:t>Yes</w:t>
      </w:r>
    </w:p>
    <w:p w:rsidR="00064B6F" w:rsidRDefault="00064B6F" w:rsidP="00064B6F">
      <w:pPr>
        <w:pStyle w:val="xmsolistparagraph"/>
        <w:spacing w:beforeAutospacing="0" w:after="0" w:afterAutospacing="0"/>
        <w:ind w:left="1080" w:hanging="360"/>
      </w:pPr>
      <w:r>
        <w:t>1.</w:t>
      </w:r>
      <w:r>
        <w:rPr>
          <w:sz w:val="14"/>
          <w:szCs w:val="14"/>
        </w:rPr>
        <w:t xml:space="preserve">      </w:t>
      </w:r>
      <w:r>
        <w:t>Experience of the Consultant, Section 3.3, Paragraph B</w:t>
      </w:r>
    </w:p>
    <w:p w:rsidR="00064B6F" w:rsidRDefault="00064B6F" w:rsidP="00064B6F">
      <w:pPr>
        <w:pStyle w:val="xmsolistparagraph"/>
        <w:spacing w:beforeAutospacing="0" w:after="0" w:afterAutospacing="0"/>
        <w:ind w:left="1440" w:hanging="180"/>
      </w:pPr>
      <w:proofErr w:type="gramStart"/>
      <w:r>
        <w:t>1.#</w:t>
      </w:r>
      <w:proofErr w:type="gramEnd"/>
      <w:r>
        <w:t>3: “Include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rsidR="00064B6F" w:rsidRDefault="00064B6F" w:rsidP="00064B6F">
      <w:pPr>
        <w:pStyle w:val="xmsolistparagraph"/>
        <w:spacing w:beforeAutospacing="0" w:after="0" w:afterAutospacing="0"/>
        <w:ind w:left="1440" w:hanging="180"/>
      </w:pPr>
      <w:proofErr w:type="gramStart"/>
      <w:r>
        <w:t>2.#</w:t>
      </w:r>
      <w:proofErr w:type="gramEnd"/>
      <w:r>
        <w:t xml:space="preserve">9: “The proposer must provide the names, affiliations and contact information of </w:t>
      </w:r>
      <w:r>
        <w:rPr>
          <w:u w:val="single"/>
        </w:rPr>
        <w:t>three relevant client references</w:t>
      </w:r>
      <w:r>
        <w:t xml:space="preserve"> from past engagements.” </w:t>
      </w:r>
    </w:p>
    <w:p w:rsidR="00064B6F" w:rsidRDefault="00064B6F" w:rsidP="00064B6F">
      <w:pPr>
        <w:pStyle w:val="xmsolistparagraph"/>
        <w:spacing w:beforeAutospacing="0" w:after="0" w:afterAutospacing="0"/>
        <w:ind w:left="1080" w:hanging="360"/>
      </w:pPr>
      <w:r>
        <w:t>2.</w:t>
      </w:r>
      <w:r>
        <w:rPr>
          <w:sz w:val="14"/>
          <w:szCs w:val="14"/>
        </w:rPr>
        <w:t xml:space="preserve">      </w:t>
      </w:r>
      <w:r>
        <w:t>References, Section 3.3</w:t>
      </w:r>
    </w:p>
    <w:p w:rsidR="00064B6F" w:rsidRDefault="00064B6F" w:rsidP="00064B6F">
      <w:pPr>
        <w:pStyle w:val="xmsolistparagraph"/>
        <w:spacing w:beforeAutospacing="0" w:after="0" w:afterAutospacing="0"/>
        <w:ind w:left="1440" w:hanging="180"/>
      </w:pPr>
      <w:proofErr w:type="gramStart"/>
      <w:r>
        <w:t>1.Paragraph</w:t>
      </w:r>
      <w:proofErr w:type="gramEnd"/>
      <w:r>
        <w:t xml:space="preserve"> D: “List names, addresses, telephone numbers, and fax numbers/e-mail addresses of </w:t>
      </w:r>
      <w:r>
        <w:rPr>
          <w:u w:val="single"/>
        </w:rPr>
        <w:t>three (3) business references</w:t>
      </w:r>
      <w:r>
        <w:t xml:space="preserve"> for the Consultant ...</w:t>
      </w:r>
    </w:p>
    <w:p w:rsidR="00064B6F" w:rsidRDefault="00064B6F" w:rsidP="00064B6F">
      <w:pPr>
        <w:rPr>
          <w:rFonts w:ascii="Times New Roman" w:hAnsi="Times New Roman" w:cs="Times New Roman"/>
        </w:rPr>
      </w:pPr>
    </w:p>
    <w:p w:rsidR="00B752A7" w:rsidRDefault="00B752A7"/>
    <w:sectPr w:rsidR="00B7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7A0F"/>
    <w:multiLevelType w:val="hybridMultilevel"/>
    <w:tmpl w:val="D4E4D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6F"/>
    <w:rsid w:val="00064B6F"/>
    <w:rsid w:val="00B7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F725"/>
  <w15:chartTrackingRefBased/>
  <w15:docId w15:val="{8960729E-AE9B-4D49-ACE3-11F13144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064B6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Jaclyn (COM)</dc:creator>
  <cp:keywords/>
  <dc:description/>
  <cp:lastModifiedBy>Perez, Jaclyn (COM)</cp:lastModifiedBy>
  <cp:revision>1</cp:revision>
  <dcterms:created xsi:type="dcterms:W3CDTF">2020-11-20T20:12:00Z</dcterms:created>
  <dcterms:modified xsi:type="dcterms:W3CDTF">2020-11-20T20:15:00Z</dcterms:modified>
</cp:coreProperties>
</file>