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3C" w:rsidRDefault="00776F61" w:rsidP="00C96A41">
      <w:pPr>
        <w:keepNext/>
        <w:keepLines/>
        <w:spacing w:before="120" w:after="12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 xml:space="preserve">Public </w:t>
      </w:r>
      <w:r w:rsidR="0069349D">
        <w:rPr>
          <w:rFonts w:asciiTheme="majorHAnsi" w:eastAsiaTheme="majorEastAsia" w:hAnsiTheme="majorHAnsi" w:cstheme="majorBidi"/>
          <w:color w:val="2E74B5" w:themeColor="accent1" w:themeShade="BF"/>
          <w:sz w:val="32"/>
          <w:szCs w:val="32"/>
        </w:rPr>
        <w:t>Review Draft of ASHRAE Standard 100</w:t>
      </w:r>
      <w:r w:rsidR="00117C3C">
        <w:rPr>
          <w:rFonts w:asciiTheme="majorHAnsi" w:eastAsiaTheme="majorEastAsia" w:hAnsiTheme="majorHAnsi" w:cstheme="majorBidi"/>
          <w:color w:val="2E74B5" w:themeColor="accent1" w:themeShade="BF"/>
          <w:sz w:val="32"/>
          <w:szCs w:val="32"/>
        </w:rPr>
        <w:t xml:space="preserve">, </w:t>
      </w:r>
      <w:r w:rsidR="00A07DDD">
        <w:rPr>
          <w:rFonts w:asciiTheme="majorHAnsi" w:eastAsiaTheme="majorEastAsia" w:hAnsiTheme="majorHAnsi" w:cstheme="majorBidi"/>
          <w:color w:val="2E74B5" w:themeColor="accent1" w:themeShade="BF"/>
          <w:sz w:val="32"/>
          <w:szCs w:val="32"/>
        </w:rPr>
        <w:t xml:space="preserve">Normative Annex Z, </w:t>
      </w:r>
      <w:r w:rsidR="00117C3C">
        <w:rPr>
          <w:rFonts w:asciiTheme="majorHAnsi" w:eastAsiaTheme="majorEastAsia" w:hAnsiTheme="majorHAnsi" w:cstheme="majorBidi"/>
          <w:color w:val="2E74B5" w:themeColor="accent1" w:themeShade="BF"/>
          <w:sz w:val="32"/>
          <w:szCs w:val="32"/>
        </w:rPr>
        <w:t>Additional Administrative Procedure</w:t>
      </w:r>
      <w:r w:rsidR="00F97F80">
        <w:rPr>
          <w:rFonts w:asciiTheme="majorHAnsi" w:eastAsiaTheme="majorEastAsia" w:hAnsiTheme="majorHAnsi" w:cstheme="majorBidi"/>
          <w:color w:val="2E74B5" w:themeColor="accent1" w:themeShade="BF"/>
          <w:sz w:val="32"/>
          <w:szCs w:val="32"/>
        </w:rPr>
        <w:t xml:space="preserve"> (Part 2)</w:t>
      </w:r>
    </w:p>
    <w:p w:rsidR="00117C3C" w:rsidRPr="00A07DDD" w:rsidRDefault="00117C3C" w:rsidP="00C96A41">
      <w:pPr>
        <w:keepNext/>
        <w:keepLines/>
        <w:spacing w:before="120" w:after="120" w:line="240" w:lineRule="auto"/>
        <w:outlineLvl w:val="0"/>
        <w:rPr>
          <w:rFonts w:asciiTheme="majorHAnsi" w:eastAsiaTheme="majorEastAsia" w:hAnsiTheme="majorHAnsi" w:cstheme="majorBidi"/>
          <w:color w:val="2E74B5" w:themeColor="accent1" w:themeShade="BF"/>
          <w:szCs w:val="32"/>
        </w:rPr>
      </w:pPr>
    </w:p>
    <w:p w:rsidR="0069349D" w:rsidRPr="008D0252" w:rsidRDefault="0069349D" w:rsidP="00C96A41">
      <w:pPr>
        <w:spacing w:before="120" w:after="120" w:line="240" w:lineRule="auto"/>
        <w:rPr>
          <w:b/>
        </w:rPr>
      </w:pPr>
      <w:r w:rsidRPr="008D0252">
        <w:rPr>
          <w:b/>
        </w:rPr>
        <w:t>Background on Rules Development for HB 1257</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The Department of Commerce is authorized by HB 1257 to develop rules for the adoption of the Washington State Energy Performance Standard for Commercial Buildings. HB 1257 requires Commerce to use ANSI/ASHRAE/IES standard 100-2018, Energy Efficiency in Existing Buildings (standard) as the basis for these rules.  Rules will be implemented that adopt the standard by reference, with amendments. </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Amendments to the standard will be made to make the standard consistent with the features prescribed in HB 1257.  The standard will also be modified to clarify administrative procedures. Additional rules may be required outside of this standard as well. </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The following draft rule has been developed by Commerce staff.  Then modifications to the various sections of the standard are made to provide consistency between the rule and HB 1257.  </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Interested parties are encouraged to review standard 100 and modifications made by Commerce staff. Input can be provided on any element that will align the standard with the legislation or existing state laws, clarify application, or improve administrative procedures. </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Stakeholders are invited to participate in workshops scheduled to review specific sections of this work.  Commerce request that written post workshop comments relating to sections covered at each workshop be received within by the scheduled time period posted on the Commerce Clean Buildings Web site.  All comments will be posted on the buildings web site. </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Submit comments via email; </w:t>
      </w:r>
      <w:hyperlink r:id="rId5" w:history="1">
        <w:r w:rsidRPr="000C5109">
          <w:rPr>
            <w:rStyle w:val="Hyperlink"/>
            <w:rFonts w:ascii="Times New Roman" w:hAnsi="Times New Roman" w:cs="Times New Roman"/>
          </w:rPr>
          <w:t>buildings@commerce.wa.gov</w:t>
        </w:r>
      </w:hyperlink>
      <w:r w:rsidRPr="000C5109">
        <w:rPr>
          <w:rFonts w:ascii="Times New Roman" w:hAnsi="Times New Roman" w:cs="Times New Roman"/>
        </w:rPr>
        <w:t>.</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Review comments and schedules on the Commerce Clean Buildings web site: </w:t>
      </w:r>
      <w:hyperlink r:id="rId6" w:history="1">
        <w:r w:rsidRPr="000C5109">
          <w:rPr>
            <w:rStyle w:val="Hyperlink"/>
            <w:rFonts w:ascii="Times New Roman" w:hAnsi="Times New Roman" w:cs="Times New Roman"/>
          </w:rPr>
          <w:t>http://commerce.wa.gov/buildings</w:t>
        </w:r>
      </w:hyperlink>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When editing the standard, please use a standard markup format that includes the following:</w:t>
      </w:r>
    </w:p>
    <w:p w:rsidR="0069349D" w:rsidRPr="000C5109" w:rsidRDefault="0069349D" w:rsidP="00C96A41">
      <w:pPr>
        <w:pStyle w:val="ListParagraph"/>
        <w:numPr>
          <w:ilvl w:val="0"/>
          <w:numId w:val="1"/>
        </w:numPr>
        <w:spacing w:before="120" w:after="120"/>
      </w:pPr>
      <w:r w:rsidRPr="000C5109">
        <w:t>Copy the entire sub-section to be edited</w:t>
      </w:r>
    </w:p>
    <w:p w:rsidR="0069349D" w:rsidRPr="000C5109" w:rsidRDefault="0069349D" w:rsidP="00C96A41">
      <w:pPr>
        <w:pStyle w:val="ListParagraph"/>
        <w:numPr>
          <w:ilvl w:val="0"/>
          <w:numId w:val="1"/>
        </w:numPr>
        <w:spacing w:before="120" w:after="120"/>
      </w:pPr>
      <w:r w:rsidRPr="000C5109">
        <w:t xml:space="preserve">Underline text to be added </w:t>
      </w:r>
    </w:p>
    <w:p w:rsidR="0069349D" w:rsidRPr="000C5109" w:rsidRDefault="0069349D" w:rsidP="00C96A41">
      <w:pPr>
        <w:pStyle w:val="ListParagraph"/>
        <w:numPr>
          <w:ilvl w:val="0"/>
          <w:numId w:val="1"/>
        </w:numPr>
        <w:spacing w:before="120" w:after="120"/>
      </w:pPr>
      <w:r w:rsidRPr="000C5109">
        <w:t>Use cross out text to indicate deletions</w:t>
      </w:r>
    </w:p>
    <w:p w:rsidR="0069349D" w:rsidRPr="000C5109" w:rsidRDefault="0069349D" w:rsidP="00C96A41">
      <w:pPr>
        <w:pStyle w:val="ListParagraph"/>
        <w:numPr>
          <w:ilvl w:val="0"/>
          <w:numId w:val="1"/>
        </w:numPr>
        <w:spacing w:before="120" w:after="120"/>
      </w:pPr>
      <w:r w:rsidRPr="000C5109">
        <w:t xml:space="preserve">Provide a reason statement for the change  </w:t>
      </w:r>
    </w:p>
    <w:p w:rsidR="0069349D" w:rsidRPr="000C5109" w:rsidRDefault="0069349D" w:rsidP="00C96A41">
      <w:pPr>
        <w:spacing w:before="120" w:after="120" w:line="240" w:lineRule="auto"/>
        <w:rPr>
          <w:rFonts w:ascii="Times New Roman" w:hAnsi="Times New Roman" w:cs="Times New Roman"/>
        </w:rPr>
      </w:pPr>
      <w:r w:rsidRPr="000C5109">
        <w:rPr>
          <w:rFonts w:ascii="Times New Roman" w:hAnsi="Times New Roman" w:cs="Times New Roman"/>
        </w:rPr>
        <w:t xml:space="preserve">For any new sections, provide suggested location in the document by referencing the previous section.  </w:t>
      </w:r>
    </w:p>
    <w:p w:rsidR="0069349D" w:rsidRPr="000C5109" w:rsidRDefault="0069349D" w:rsidP="00C96A41">
      <w:pPr>
        <w:keepNext/>
        <w:keepLines/>
        <w:spacing w:before="120" w:after="120" w:line="240" w:lineRule="auto"/>
        <w:ind w:left="-5" w:hanging="10"/>
        <w:outlineLvl w:val="2"/>
        <w:rPr>
          <w:rFonts w:ascii="Times New Roman" w:eastAsia="Arial" w:hAnsi="Times New Roman" w:cs="Times New Roman"/>
          <w:b/>
          <w:color w:val="000000"/>
          <w:sz w:val="20"/>
        </w:rPr>
      </w:pPr>
      <w:r w:rsidRPr="000C5109">
        <w:rPr>
          <w:rFonts w:ascii="Times New Roman" w:eastAsia="Arial" w:hAnsi="Times New Roman" w:cs="Times New Roman"/>
          <w:b/>
          <w:color w:val="000000"/>
          <w:sz w:val="20"/>
        </w:rPr>
        <w:t>Additional Reference Documents</w:t>
      </w:r>
    </w:p>
    <w:p w:rsidR="0069349D" w:rsidRPr="000C5109" w:rsidRDefault="0069349D" w:rsidP="00C96A41">
      <w:pPr>
        <w:keepNext/>
        <w:keepLines/>
        <w:spacing w:before="120" w:after="120" w:line="240" w:lineRule="auto"/>
        <w:ind w:left="-5" w:hanging="10"/>
        <w:outlineLvl w:val="2"/>
        <w:rPr>
          <w:rFonts w:ascii="Times New Roman" w:eastAsia="Arial" w:hAnsi="Times New Roman" w:cs="Times New Roman"/>
          <w:color w:val="000000"/>
          <w:sz w:val="20"/>
        </w:rPr>
      </w:pPr>
      <w:r w:rsidRPr="000C5109">
        <w:rPr>
          <w:rFonts w:ascii="Times New Roman" w:eastAsia="Arial" w:hAnsi="Times New Roman" w:cs="Times New Roman"/>
          <w:color w:val="000000"/>
          <w:sz w:val="20"/>
        </w:rPr>
        <w:t xml:space="preserve">ASHRAE Standards. </w:t>
      </w:r>
    </w:p>
    <w:p w:rsidR="0069349D" w:rsidRPr="000C5109" w:rsidRDefault="0069349D" w:rsidP="00C96A41">
      <w:pPr>
        <w:keepNext/>
        <w:keepLines/>
        <w:spacing w:before="120" w:after="120" w:line="240" w:lineRule="auto"/>
        <w:ind w:left="-5" w:hanging="10"/>
        <w:outlineLvl w:val="2"/>
        <w:rPr>
          <w:rFonts w:ascii="Times New Roman" w:eastAsia="Arial" w:hAnsi="Times New Roman" w:cs="Times New Roman"/>
          <w:color w:val="000000"/>
          <w:sz w:val="20"/>
        </w:rPr>
      </w:pPr>
      <w:r w:rsidRPr="000C5109">
        <w:rPr>
          <w:rFonts w:ascii="Times New Roman" w:eastAsia="Arial" w:hAnsi="Times New Roman" w:cs="Times New Roman"/>
          <w:color w:val="000000"/>
          <w:sz w:val="20"/>
        </w:rPr>
        <w:t>A free read only copy of ASHRAE Standard 100-2018</w:t>
      </w:r>
      <w:r>
        <w:rPr>
          <w:rFonts w:ascii="Times New Roman" w:eastAsia="Arial" w:hAnsi="Times New Roman" w:cs="Times New Roman"/>
          <w:color w:val="000000"/>
          <w:sz w:val="20"/>
        </w:rPr>
        <w:t xml:space="preserve">   </w:t>
      </w:r>
      <w:hyperlink r:id="rId7" w:history="1">
        <w:r w:rsidRPr="00342A1D">
          <w:rPr>
            <w:rStyle w:val="Hyperlink"/>
            <w:rFonts w:ascii="&amp;quot" w:hAnsi="&amp;quot"/>
            <w:color w:val="1569AE"/>
            <w:bdr w:val="none" w:sz="0" w:space="0" w:color="auto" w:frame="1"/>
          </w:rPr>
          <w:t>ASHRAE Standard 100-2018</w:t>
        </w:r>
      </w:hyperlink>
      <w:r w:rsidRPr="00342A1D">
        <w:rPr>
          <w:rFonts w:ascii="&amp;quot" w:hAnsi="&amp;quot"/>
          <w:color w:val="545454"/>
          <w:sz w:val="18"/>
        </w:rPr>
        <w:t xml:space="preserve"> (link)</w:t>
      </w:r>
    </w:p>
    <w:p w:rsidR="0069349D" w:rsidRPr="000C5109" w:rsidRDefault="0069349D" w:rsidP="00C96A41">
      <w:pPr>
        <w:keepNext/>
        <w:keepLines/>
        <w:spacing w:before="120" w:after="120" w:line="240" w:lineRule="auto"/>
        <w:ind w:left="-5" w:hanging="10"/>
        <w:outlineLvl w:val="2"/>
        <w:rPr>
          <w:rFonts w:ascii="Times New Roman" w:eastAsia="Arial" w:hAnsi="Times New Roman" w:cs="Times New Roman"/>
          <w:color w:val="000000"/>
          <w:sz w:val="20"/>
        </w:rPr>
      </w:pPr>
      <w:r w:rsidRPr="000C5109">
        <w:rPr>
          <w:rFonts w:ascii="Times New Roman" w:eastAsia="Arial" w:hAnsi="Times New Roman" w:cs="Times New Roman"/>
          <w:color w:val="000000"/>
          <w:sz w:val="20"/>
        </w:rPr>
        <w:t>Purchase a copy of the following standards</w:t>
      </w:r>
      <w:r>
        <w:rPr>
          <w:rFonts w:ascii="Times New Roman" w:eastAsia="Arial" w:hAnsi="Times New Roman" w:cs="Times New Roman"/>
          <w:color w:val="000000"/>
          <w:sz w:val="20"/>
        </w:rPr>
        <w:t xml:space="preserve"> - </w:t>
      </w:r>
    </w:p>
    <w:p w:rsidR="0069349D" w:rsidRPr="00342A1D" w:rsidRDefault="0069349D" w:rsidP="00C96A41">
      <w:pPr>
        <w:pStyle w:val="ListParagraph"/>
        <w:numPr>
          <w:ilvl w:val="0"/>
          <w:numId w:val="2"/>
        </w:numPr>
        <w:spacing w:before="120" w:after="120"/>
        <w:rPr>
          <w:rFonts w:eastAsia="Arial"/>
          <w:sz w:val="16"/>
        </w:rPr>
      </w:pPr>
      <w:r w:rsidRPr="00342A1D">
        <w:rPr>
          <w:rFonts w:eastAsia="Arial"/>
        </w:rPr>
        <w:t>ASHRAE Standard 100-2018</w:t>
      </w:r>
      <w:r>
        <w:t xml:space="preserve"> </w:t>
      </w:r>
      <w:hyperlink r:id="rId8" w:history="1">
        <w:r w:rsidRPr="00342A1D">
          <w:rPr>
            <w:rStyle w:val="Hyperlink"/>
            <w:rFonts w:eastAsiaTheme="majorEastAsia"/>
            <w:sz w:val="16"/>
          </w:rPr>
          <w:t>https://www.techstreet.com/ashrae/searches/27415471</w:t>
        </w:r>
      </w:hyperlink>
    </w:p>
    <w:p w:rsidR="0069349D" w:rsidRPr="00342A1D" w:rsidRDefault="0069349D" w:rsidP="00C96A41">
      <w:pPr>
        <w:pStyle w:val="ListParagraph"/>
        <w:numPr>
          <w:ilvl w:val="0"/>
          <w:numId w:val="2"/>
        </w:numPr>
        <w:spacing w:before="120" w:after="120"/>
        <w:rPr>
          <w:rFonts w:eastAsia="Arial"/>
          <w:sz w:val="16"/>
        </w:rPr>
      </w:pPr>
      <w:r w:rsidRPr="00342A1D">
        <w:rPr>
          <w:rFonts w:eastAsia="Arial"/>
        </w:rPr>
        <w:t>ASHRAEStandard</w:t>
      </w:r>
      <w:r w:rsidRPr="00342A1D">
        <w:t xml:space="preserve">211-2018   </w:t>
      </w:r>
      <w:hyperlink r:id="rId9" w:history="1">
        <w:r w:rsidRPr="00342A1D">
          <w:rPr>
            <w:rStyle w:val="Hyperlink"/>
            <w:rFonts w:eastAsiaTheme="majorEastAsia"/>
            <w:sz w:val="16"/>
          </w:rPr>
          <w:t>https://www.techstreet.com/ashrae/standards/ashrae-211-2018?product_id=2016437</w:t>
        </w:r>
      </w:hyperlink>
    </w:p>
    <w:p w:rsidR="0069349D" w:rsidRDefault="0069349D" w:rsidP="00C96A41">
      <w:pPr>
        <w:keepNext/>
        <w:keepLines/>
        <w:spacing w:before="120" w:after="120" w:line="240" w:lineRule="auto"/>
        <w:ind w:left="-5" w:hanging="10"/>
        <w:outlineLvl w:val="2"/>
        <w:rPr>
          <w:rFonts w:ascii="Times New Roman" w:eastAsia="Arial" w:hAnsi="Times New Roman" w:cs="Times New Roman"/>
          <w:color w:val="000000"/>
          <w:sz w:val="20"/>
        </w:rPr>
      </w:pPr>
    </w:p>
    <w:p w:rsidR="0069349D" w:rsidRDefault="0069349D" w:rsidP="00C96A41">
      <w:pPr>
        <w:keepNext/>
        <w:keepLines/>
        <w:spacing w:before="120" w:after="120" w:line="240" w:lineRule="auto"/>
        <w:ind w:left="-5" w:hanging="10"/>
        <w:outlineLvl w:val="2"/>
        <w:rPr>
          <w:rFonts w:ascii="Times New Roman" w:eastAsia="Arial" w:hAnsi="Times New Roman" w:cs="Times New Roman"/>
          <w:color w:val="000000"/>
          <w:sz w:val="20"/>
        </w:rPr>
      </w:pPr>
      <w:r w:rsidRPr="00A07DDD">
        <w:rPr>
          <w:rFonts w:ascii="Times New Roman" w:eastAsia="Arial" w:hAnsi="Times New Roman" w:cs="Times New Roman"/>
          <w:color w:val="000000"/>
        </w:rPr>
        <w:t>Previous Review Drafts developed by Commerce for ASHRAE Standard 100</w:t>
      </w:r>
    </w:p>
    <w:p w:rsidR="0069349D" w:rsidRPr="00342A1D" w:rsidRDefault="0073255D" w:rsidP="00C96A41">
      <w:pPr>
        <w:pStyle w:val="ListParagraph"/>
        <w:numPr>
          <w:ilvl w:val="0"/>
          <w:numId w:val="3"/>
        </w:numPr>
        <w:spacing w:before="120" w:after="120"/>
        <w:textAlignment w:val="baseline"/>
        <w:rPr>
          <w:rFonts w:ascii="&amp;quot" w:hAnsi="&amp;quot"/>
          <w:color w:val="545454"/>
        </w:rPr>
      </w:pPr>
      <w:hyperlink r:id="rId10" w:history="1">
        <w:r w:rsidR="0069349D" w:rsidRPr="00342A1D">
          <w:rPr>
            <w:rStyle w:val="Hyperlink"/>
            <w:rFonts w:ascii="&amp;quot" w:eastAsiaTheme="majorEastAsia" w:hAnsi="&amp;quot"/>
            <w:color w:val="1569AE"/>
            <w:bdr w:val="none" w:sz="0" w:space="0" w:color="auto" w:frame="1"/>
          </w:rPr>
          <w:t>Sections one, two, and three</w:t>
        </w:r>
      </w:hyperlink>
      <w:r w:rsidR="0069349D" w:rsidRPr="00342A1D">
        <w:rPr>
          <w:rFonts w:ascii="&amp;quot" w:hAnsi="&amp;quot"/>
          <w:color w:val="545454"/>
        </w:rPr>
        <w:t xml:space="preserve"> (.</w:t>
      </w:r>
      <w:proofErr w:type="spellStart"/>
      <w:r w:rsidR="0069349D" w:rsidRPr="00342A1D">
        <w:rPr>
          <w:rFonts w:ascii="&amp;quot" w:hAnsi="&amp;quot"/>
          <w:color w:val="545454"/>
        </w:rPr>
        <w:t>docx</w:t>
      </w:r>
      <w:proofErr w:type="spellEnd"/>
      <w:r w:rsidR="0069349D" w:rsidRPr="00342A1D">
        <w:rPr>
          <w:rFonts w:ascii="&amp;quot" w:hAnsi="&amp;quot"/>
          <w:color w:val="545454"/>
        </w:rPr>
        <w:t>)</w:t>
      </w:r>
    </w:p>
    <w:p w:rsidR="0069349D" w:rsidRPr="00342A1D" w:rsidRDefault="0073255D" w:rsidP="00C96A41">
      <w:pPr>
        <w:pStyle w:val="ListParagraph"/>
        <w:numPr>
          <w:ilvl w:val="0"/>
          <w:numId w:val="3"/>
        </w:numPr>
        <w:spacing w:before="120" w:after="120"/>
        <w:textAlignment w:val="baseline"/>
        <w:rPr>
          <w:rFonts w:ascii="&amp;quot" w:hAnsi="&amp;quot"/>
          <w:color w:val="545454"/>
        </w:rPr>
      </w:pPr>
      <w:hyperlink r:id="rId11" w:history="1">
        <w:r w:rsidR="0069349D" w:rsidRPr="00342A1D">
          <w:rPr>
            <w:rStyle w:val="Hyperlink"/>
            <w:rFonts w:ascii="&amp;quot" w:eastAsiaTheme="majorEastAsia" w:hAnsi="&amp;quot"/>
            <w:color w:val="1569AE"/>
            <w:bdr w:val="none" w:sz="0" w:space="0" w:color="auto" w:frame="1"/>
          </w:rPr>
          <w:t>Section five</w:t>
        </w:r>
      </w:hyperlink>
      <w:r w:rsidR="0069349D" w:rsidRPr="00342A1D">
        <w:rPr>
          <w:rFonts w:ascii="&amp;quot" w:hAnsi="&amp;quot"/>
          <w:color w:val="545454"/>
        </w:rPr>
        <w:t xml:space="preserve"> (.</w:t>
      </w:r>
      <w:proofErr w:type="spellStart"/>
      <w:r w:rsidR="0069349D" w:rsidRPr="00342A1D">
        <w:rPr>
          <w:rFonts w:ascii="&amp;quot" w:hAnsi="&amp;quot"/>
          <w:color w:val="545454"/>
        </w:rPr>
        <w:t>docx</w:t>
      </w:r>
      <w:proofErr w:type="spellEnd"/>
      <w:r w:rsidR="0069349D" w:rsidRPr="00342A1D">
        <w:rPr>
          <w:rFonts w:ascii="&amp;quot" w:hAnsi="&amp;quot"/>
          <w:color w:val="545454"/>
        </w:rPr>
        <w:t>)</w:t>
      </w:r>
    </w:p>
    <w:p w:rsidR="0069349D" w:rsidRPr="00342A1D" w:rsidRDefault="0073255D" w:rsidP="00C96A41">
      <w:pPr>
        <w:pStyle w:val="ListParagraph"/>
        <w:numPr>
          <w:ilvl w:val="0"/>
          <w:numId w:val="3"/>
        </w:numPr>
        <w:spacing w:before="120" w:after="120"/>
        <w:textAlignment w:val="baseline"/>
        <w:rPr>
          <w:rFonts w:ascii="&amp;quot" w:hAnsi="&amp;quot"/>
          <w:color w:val="545454"/>
        </w:rPr>
      </w:pPr>
      <w:hyperlink r:id="rId12" w:history="1">
        <w:r w:rsidR="0069349D" w:rsidRPr="00342A1D">
          <w:rPr>
            <w:rStyle w:val="Hyperlink"/>
            <w:rFonts w:ascii="&amp;quot" w:eastAsiaTheme="majorEastAsia" w:hAnsi="&amp;quot"/>
            <w:color w:val="1569AE"/>
            <w:bdr w:val="none" w:sz="0" w:space="0" w:color="auto" w:frame="1"/>
          </w:rPr>
          <w:t>Section six</w:t>
        </w:r>
      </w:hyperlink>
      <w:r w:rsidR="0069349D" w:rsidRPr="00342A1D">
        <w:rPr>
          <w:rFonts w:ascii="&amp;quot" w:hAnsi="&amp;quot"/>
          <w:color w:val="545454"/>
        </w:rPr>
        <w:t xml:space="preserve"> (.</w:t>
      </w:r>
      <w:proofErr w:type="spellStart"/>
      <w:r w:rsidR="0069349D" w:rsidRPr="00342A1D">
        <w:rPr>
          <w:rFonts w:ascii="&amp;quot" w:hAnsi="&amp;quot"/>
          <w:color w:val="545454"/>
        </w:rPr>
        <w:t>docx</w:t>
      </w:r>
      <w:proofErr w:type="spellEnd"/>
      <w:r w:rsidR="0069349D" w:rsidRPr="00342A1D">
        <w:rPr>
          <w:rFonts w:ascii="&amp;quot" w:hAnsi="&amp;quot"/>
          <w:color w:val="545454"/>
        </w:rPr>
        <w:t>)</w:t>
      </w:r>
    </w:p>
    <w:p w:rsidR="0069349D" w:rsidRPr="00342A1D" w:rsidRDefault="0073255D" w:rsidP="00C96A41">
      <w:pPr>
        <w:pStyle w:val="ListParagraph"/>
        <w:numPr>
          <w:ilvl w:val="0"/>
          <w:numId w:val="3"/>
        </w:numPr>
        <w:spacing w:before="120" w:after="120"/>
        <w:textAlignment w:val="baseline"/>
        <w:rPr>
          <w:rFonts w:ascii="&amp;quot" w:hAnsi="&amp;quot"/>
          <w:color w:val="545454"/>
        </w:rPr>
      </w:pPr>
      <w:hyperlink r:id="rId13" w:history="1">
        <w:r w:rsidR="0069349D" w:rsidRPr="00342A1D">
          <w:rPr>
            <w:rStyle w:val="Hyperlink"/>
            <w:rFonts w:ascii="&amp;quot" w:eastAsiaTheme="majorEastAsia" w:hAnsi="&amp;quot"/>
            <w:color w:val="1569AE"/>
            <w:bdr w:val="none" w:sz="0" w:space="0" w:color="auto" w:frame="1"/>
          </w:rPr>
          <w:t>Sections seven, eight, and nine</w:t>
        </w:r>
      </w:hyperlink>
      <w:r w:rsidR="0069349D" w:rsidRPr="00342A1D">
        <w:rPr>
          <w:rFonts w:ascii="&amp;quot" w:hAnsi="&amp;quot"/>
          <w:color w:val="545454"/>
        </w:rPr>
        <w:t xml:space="preserve"> (.</w:t>
      </w:r>
      <w:proofErr w:type="spellStart"/>
      <w:r w:rsidR="0069349D" w:rsidRPr="00342A1D">
        <w:rPr>
          <w:rFonts w:ascii="&amp;quot" w:hAnsi="&amp;quot"/>
          <w:color w:val="545454"/>
        </w:rPr>
        <w:t>docx</w:t>
      </w:r>
      <w:proofErr w:type="spellEnd"/>
      <w:r w:rsidR="0069349D" w:rsidRPr="00342A1D">
        <w:rPr>
          <w:rFonts w:ascii="&amp;quot" w:hAnsi="&amp;quot"/>
          <w:color w:val="545454"/>
        </w:rPr>
        <w:t>)</w:t>
      </w:r>
    </w:p>
    <w:p w:rsidR="0069349D" w:rsidRDefault="0073255D" w:rsidP="00C96A41">
      <w:pPr>
        <w:pStyle w:val="ListParagraph"/>
        <w:numPr>
          <w:ilvl w:val="0"/>
          <w:numId w:val="3"/>
        </w:numPr>
        <w:spacing w:before="120" w:after="120"/>
        <w:textAlignment w:val="baseline"/>
        <w:rPr>
          <w:rFonts w:ascii="&amp;quot" w:hAnsi="&amp;quot"/>
          <w:color w:val="545454"/>
        </w:rPr>
      </w:pPr>
      <w:hyperlink r:id="rId14" w:history="1">
        <w:r w:rsidR="0069349D" w:rsidRPr="00342A1D">
          <w:rPr>
            <w:rStyle w:val="Hyperlink"/>
            <w:rFonts w:ascii="&amp;quot" w:eastAsiaTheme="majorEastAsia" w:hAnsi="&amp;quot"/>
            <w:color w:val="1569AE"/>
            <w:bdr w:val="none" w:sz="0" w:space="0" w:color="auto" w:frame="1"/>
          </w:rPr>
          <w:t>Normative Annex X</w:t>
        </w:r>
      </w:hyperlink>
      <w:r w:rsidR="0069349D" w:rsidRPr="00342A1D">
        <w:rPr>
          <w:rFonts w:ascii="&amp;quot" w:hAnsi="&amp;quot"/>
          <w:color w:val="545454"/>
        </w:rPr>
        <w:t> (.</w:t>
      </w:r>
      <w:proofErr w:type="spellStart"/>
      <w:r w:rsidR="0069349D" w:rsidRPr="00342A1D">
        <w:rPr>
          <w:rFonts w:ascii="&amp;quot" w:hAnsi="&amp;quot"/>
          <w:color w:val="545454"/>
        </w:rPr>
        <w:t>docx</w:t>
      </w:r>
      <w:proofErr w:type="spellEnd"/>
      <w:r w:rsidR="0069349D" w:rsidRPr="00342A1D">
        <w:rPr>
          <w:rFonts w:ascii="&amp;quot" w:hAnsi="&amp;quot"/>
          <w:color w:val="545454"/>
        </w:rPr>
        <w:t>)</w:t>
      </w:r>
    </w:p>
    <w:p w:rsidR="0069349D" w:rsidRDefault="0073255D" w:rsidP="00C96A41">
      <w:pPr>
        <w:numPr>
          <w:ilvl w:val="0"/>
          <w:numId w:val="4"/>
        </w:numPr>
        <w:spacing w:before="120" w:after="120" w:line="240" w:lineRule="auto"/>
        <w:ind w:left="360"/>
        <w:textAlignment w:val="baseline"/>
        <w:rPr>
          <w:rFonts w:ascii="&amp;quot" w:hAnsi="&amp;quot"/>
          <w:color w:val="545454"/>
        </w:rPr>
      </w:pPr>
      <w:hyperlink r:id="rId15" w:history="1">
        <w:r w:rsidR="0069349D">
          <w:rPr>
            <w:rStyle w:val="Hyperlink"/>
            <w:rFonts w:ascii="&amp;quot" w:hAnsi="&amp;quot"/>
            <w:color w:val="1569AE"/>
            <w:bdr w:val="none" w:sz="0" w:space="0" w:color="auto" w:frame="1"/>
          </w:rPr>
          <w:t>Energy Star Portfolio Manager</w:t>
        </w:r>
      </w:hyperlink>
      <w:r w:rsidR="0069349D">
        <w:rPr>
          <w:rFonts w:ascii="&amp;quot" w:hAnsi="&amp;quot"/>
          <w:color w:val="545454"/>
        </w:rPr>
        <w:t xml:space="preserve"> (link)</w:t>
      </w:r>
    </w:p>
    <w:p w:rsidR="00F97F80" w:rsidRPr="00F97F80" w:rsidRDefault="00F97F80" w:rsidP="00F97F80">
      <w:pPr>
        <w:numPr>
          <w:ilvl w:val="0"/>
          <w:numId w:val="4"/>
        </w:numPr>
        <w:spacing w:before="120" w:after="120" w:line="240" w:lineRule="auto"/>
        <w:ind w:left="360"/>
        <w:textAlignment w:val="baseline"/>
        <w:rPr>
          <w:rFonts w:ascii="&amp;quot" w:hAnsi="&amp;quot"/>
          <w:color w:val="545454"/>
        </w:rPr>
      </w:pPr>
      <w:r>
        <w:rPr>
          <w:rFonts w:ascii="&amp;quot" w:hAnsi="&amp;quot"/>
          <w:color w:val="545454"/>
        </w:rPr>
        <w:t xml:space="preserve">Normative Annex Z. (Part 1). </w:t>
      </w:r>
    </w:p>
    <w:p w:rsidR="00A07DDD" w:rsidRDefault="00A07DDD" w:rsidP="00C96A41">
      <w:pPr>
        <w:pStyle w:val="Heading1"/>
        <w:spacing w:before="120" w:after="120" w:line="240" w:lineRule="auto"/>
      </w:pPr>
    </w:p>
    <w:p w:rsidR="0069349D" w:rsidRDefault="0069349D" w:rsidP="00C96A41">
      <w:pPr>
        <w:pStyle w:val="Heading1"/>
        <w:spacing w:before="120" w:after="120" w:line="240" w:lineRule="auto"/>
      </w:pPr>
      <w:r>
        <w:t>Comments Specific to this Draft</w:t>
      </w:r>
    </w:p>
    <w:p w:rsidR="0069349D" w:rsidRDefault="0069349D" w:rsidP="00C96A41">
      <w:pPr>
        <w:spacing w:before="120" w:after="120" w:line="240" w:lineRule="auto"/>
      </w:pPr>
      <w:r>
        <w:t>This draft includes proposed addition</w:t>
      </w:r>
      <w:r w:rsidR="00A07DDD">
        <w:t>s</w:t>
      </w:r>
      <w:r>
        <w:t xml:space="preserve"> </w:t>
      </w:r>
      <w:r w:rsidR="00A07DDD">
        <w:t xml:space="preserve">to </w:t>
      </w:r>
      <w:r>
        <w:t>normative annex Z</w:t>
      </w:r>
      <w:r w:rsidR="00F97F80">
        <w:t xml:space="preserve"> (part 2)</w:t>
      </w:r>
      <w:r>
        <w:t xml:space="preserve">. Normative annex Z has been developed to provide detailed administrative instructions specific to Washington law, as well as to create reporting specifications that will be implemented by commerce (AHJ).   </w:t>
      </w:r>
    </w:p>
    <w:p w:rsidR="0069349D" w:rsidRDefault="0069349D" w:rsidP="00C96A41">
      <w:pPr>
        <w:spacing w:before="120" w:after="120" w:line="240" w:lineRule="auto"/>
      </w:pPr>
      <w:r>
        <w:t xml:space="preserve">Numbering of </w:t>
      </w:r>
      <w:r w:rsidR="00F97F80">
        <w:t>sections may chang</w:t>
      </w:r>
      <w:r w:rsidR="00776F61">
        <w:t>e</w:t>
      </w:r>
      <w:r w:rsidR="00F97F80">
        <w:t>.  C</w:t>
      </w:r>
      <w:r>
        <w:t>omplete review of numbering will be required as part of developing a comprehensive final draft of the</w:t>
      </w:r>
      <w:r w:rsidR="00F97F80">
        <w:t xml:space="preserve"> standard. </w:t>
      </w:r>
      <w:r>
        <w:t xml:space="preserve"> </w:t>
      </w:r>
    </w:p>
    <w:p w:rsidR="0069349D" w:rsidRDefault="00F97F80" w:rsidP="00C96A41">
      <w:pPr>
        <w:spacing w:before="120" w:after="120" w:line="240" w:lineRule="auto"/>
      </w:pPr>
      <w:r>
        <w:t xml:space="preserve">Thank you for your consideration. </w:t>
      </w: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pPr>
    </w:p>
    <w:p w:rsidR="0069349D" w:rsidRDefault="0069349D" w:rsidP="00C96A41">
      <w:pPr>
        <w:spacing w:before="120" w:after="120" w:line="240" w:lineRule="auto"/>
        <w:rPr>
          <w:rFonts w:cstheme="minorHAnsi"/>
          <w:b/>
          <w:sz w:val="28"/>
        </w:rPr>
      </w:pPr>
      <w:r>
        <w:br w:type="page"/>
      </w:r>
      <w:r w:rsidRPr="00A83452">
        <w:rPr>
          <w:rFonts w:cstheme="minorHAnsi"/>
          <w:b/>
          <w:sz w:val="28"/>
        </w:rPr>
        <w:t>Appendix Z, Washington State Reporting Requirements</w:t>
      </w:r>
      <w:r w:rsidR="00F86D67">
        <w:rPr>
          <w:rFonts w:cstheme="minorHAnsi"/>
          <w:b/>
          <w:sz w:val="28"/>
        </w:rPr>
        <w:t xml:space="preserve"> (</w:t>
      </w:r>
      <w:r w:rsidR="00FB1E45">
        <w:rPr>
          <w:rFonts w:cstheme="minorHAnsi"/>
          <w:b/>
          <w:sz w:val="28"/>
        </w:rPr>
        <w:t>Part 2</w:t>
      </w:r>
      <w:r w:rsidR="00F86D67">
        <w:rPr>
          <w:rFonts w:cstheme="minorHAnsi"/>
          <w:b/>
          <w:sz w:val="28"/>
        </w:rPr>
        <w:t>)</w:t>
      </w:r>
    </w:p>
    <w:p w:rsidR="00F86D67" w:rsidRPr="00117C3C" w:rsidRDefault="00F86D67" w:rsidP="00C96A41">
      <w:pPr>
        <w:spacing w:before="120" w:after="120" w:line="240" w:lineRule="auto"/>
      </w:pPr>
    </w:p>
    <w:p w:rsidR="00F86D67" w:rsidRDefault="00F97F80" w:rsidP="00C96A41">
      <w:pPr>
        <w:spacing w:before="120" w:after="120" w:line="240" w:lineRule="auto"/>
        <w:rPr>
          <w:rFonts w:cstheme="minorHAnsi"/>
          <w:b/>
          <w:sz w:val="24"/>
        </w:rPr>
      </w:pPr>
      <w:r>
        <w:rPr>
          <w:rFonts w:cstheme="minorHAnsi"/>
          <w:b/>
          <w:sz w:val="24"/>
        </w:rPr>
        <w:t>Form F</w:t>
      </w:r>
      <w:r w:rsidR="00D271FC">
        <w:rPr>
          <w:rFonts w:cstheme="minorHAnsi"/>
          <w:b/>
          <w:sz w:val="24"/>
        </w:rPr>
        <w:t>.</w:t>
      </w:r>
      <w:r w:rsidR="00F86D67">
        <w:rPr>
          <w:rFonts w:cstheme="minorHAnsi"/>
          <w:b/>
          <w:sz w:val="24"/>
        </w:rPr>
        <w:t xml:space="preserve"> </w:t>
      </w:r>
      <w:r>
        <w:rPr>
          <w:rFonts w:cstheme="minorHAnsi"/>
          <w:b/>
          <w:sz w:val="24"/>
        </w:rPr>
        <w:t>Documentation</w:t>
      </w:r>
      <w:r w:rsidRPr="00A83452">
        <w:rPr>
          <w:rFonts w:cstheme="minorHAnsi"/>
          <w:b/>
          <w:sz w:val="24"/>
        </w:rPr>
        <w:t xml:space="preserve"> </w:t>
      </w:r>
      <w:r w:rsidR="00D7345A" w:rsidRPr="00A83452">
        <w:rPr>
          <w:rFonts w:cstheme="minorHAnsi"/>
          <w:b/>
          <w:sz w:val="24"/>
        </w:rPr>
        <w:t>of a building of historic significance</w:t>
      </w:r>
      <w:r w:rsidR="00F86D67">
        <w:rPr>
          <w:rFonts w:cstheme="minorHAnsi"/>
          <w:b/>
          <w:sz w:val="24"/>
        </w:rPr>
        <w:t xml:space="preserve">. </w:t>
      </w:r>
    </w:p>
    <w:p w:rsidR="00D7345A" w:rsidRPr="003032DF" w:rsidRDefault="00D271FC" w:rsidP="00C96A41">
      <w:pPr>
        <w:spacing w:before="120" w:after="120" w:line="240" w:lineRule="auto"/>
      </w:pPr>
      <w:r w:rsidRPr="003032DF">
        <w:rPr>
          <w:rFonts w:cstheme="minorHAnsi"/>
          <w:b/>
        </w:rPr>
        <w:t>Energy efficiency measure exemptions for historic buildings.</w:t>
      </w:r>
      <w:r>
        <w:rPr>
          <w:rFonts w:cstheme="minorHAnsi"/>
          <w:sz w:val="24"/>
        </w:rPr>
        <w:t xml:space="preserve"> </w:t>
      </w:r>
      <w:r w:rsidR="00F86D67" w:rsidRPr="003032DF">
        <w:t xml:space="preserve">No individual energy efficiency measure </w:t>
      </w:r>
      <w:r w:rsidRPr="003032DF">
        <w:t xml:space="preserve">identified by energy efficiency audits </w:t>
      </w:r>
      <w:r w:rsidR="00F86D67" w:rsidRPr="003032DF">
        <w:t xml:space="preserve">need be </w:t>
      </w:r>
      <w:r w:rsidRPr="003032DF">
        <w:t>implemented if it</w:t>
      </w:r>
      <w:r w:rsidR="00F86D67" w:rsidRPr="003032DF">
        <w:t xml:space="preserve"> would compromise the historical integrity of a building or part of a building.</w:t>
      </w:r>
      <w:r w:rsidRPr="003032DF">
        <w:t xml:space="preserve"> Buildings owners seeking this exception shall provide the following documentation. </w:t>
      </w:r>
      <w:r w:rsidR="00F86D67" w:rsidRPr="003032DF">
        <w:t xml:space="preserve"> </w:t>
      </w:r>
      <w:r w:rsidR="00D7345A" w:rsidRPr="003032DF">
        <w:t xml:space="preserve">Certified historic buildings are not exempt from </w:t>
      </w:r>
      <w:r w:rsidRPr="003032DF">
        <w:t xml:space="preserve">the other </w:t>
      </w:r>
      <w:r w:rsidR="00776F61" w:rsidRPr="003032DF">
        <w:t>requirements</w:t>
      </w:r>
      <w:r w:rsidRPr="003032DF">
        <w:t xml:space="preserve"> of this standard. </w:t>
      </w:r>
    </w:p>
    <w:p w:rsidR="00D7345A" w:rsidRPr="00A83452" w:rsidRDefault="00D271FC" w:rsidP="00C96A41">
      <w:pPr>
        <w:spacing w:before="120" w:after="120" w:line="240" w:lineRule="auto"/>
        <w:rPr>
          <w:rFonts w:cstheme="minorHAnsi"/>
        </w:rPr>
      </w:pPr>
      <w:r w:rsidRPr="00776F61">
        <w:rPr>
          <w:rFonts w:cstheme="minorHAnsi"/>
          <w:b/>
        </w:rPr>
        <w:t>Plan for Compliance.</w:t>
      </w:r>
      <w:r>
        <w:rPr>
          <w:rFonts w:cstheme="minorHAnsi"/>
        </w:rPr>
        <w:t xml:space="preserve"> </w:t>
      </w:r>
      <w:r w:rsidR="00D7345A" w:rsidRPr="003032DF">
        <w:t>The owner of a qualifying historic building shall have the plan for compliance with RCW 19.27A.210 evaluated by a qualified historic preservationist, as defined in the Code of Federal Regulations, 36 CFR Part 61, identifying any energy efficiency requirement that may compromise the historic integrity of the building or part of the building.  Any element of the plan identified to compromise the historic integrity of the building or part of the building shall be omitted from the compliance plan.  Evidence of this evaluation must be submitted to the AHJ for approval.</w:t>
      </w:r>
      <w:r w:rsidR="00D7345A" w:rsidRPr="00A83452">
        <w:rPr>
          <w:rFonts w:cstheme="minorHAnsi"/>
        </w:rPr>
        <w:t xml:space="preserve">  </w:t>
      </w:r>
    </w:p>
    <w:p w:rsidR="00D7345A" w:rsidRPr="00A83452" w:rsidRDefault="00D271FC" w:rsidP="00C96A41">
      <w:pPr>
        <w:spacing w:before="120" w:after="120" w:line="240" w:lineRule="auto"/>
        <w:rPr>
          <w:rFonts w:cstheme="minorHAnsi"/>
        </w:rPr>
      </w:pPr>
      <w:r w:rsidRPr="00776F61">
        <w:rPr>
          <w:rFonts w:cstheme="minorHAnsi"/>
          <w:b/>
        </w:rPr>
        <w:t>Documentation of a historic building.</w:t>
      </w:r>
      <w:r>
        <w:rPr>
          <w:rFonts w:cstheme="minorHAnsi"/>
        </w:rPr>
        <w:t xml:space="preserve"> </w:t>
      </w:r>
      <w:r w:rsidR="00D7345A" w:rsidRPr="00A83452">
        <w:rPr>
          <w:rFonts w:cstheme="minorHAnsi"/>
        </w:rPr>
        <w:t xml:space="preserve">Building owners must provide documentation to the AHJ that proves its historic identification or eligibility. Valid documentation from any existing programs listed below is acceptable.  </w:t>
      </w:r>
    </w:p>
    <w:p w:rsidR="00D7345A" w:rsidRPr="00A83452" w:rsidRDefault="00D7345A" w:rsidP="00C96A41">
      <w:pPr>
        <w:spacing w:before="120" w:after="120" w:line="240" w:lineRule="auto"/>
        <w:rPr>
          <w:rFonts w:cstheme="minorHAnsi"/>
        </w:rPr>
      </w:pPr>
      <w:r w:rsidRPr="00A83452">
        <w:rPr>
          <w:rFonts w:cstheme="minorHAnsi"/>
        </w:rPr>
        <w:t>Examples of existing programs that verify historic property include:</w:t>
      </w:r>
    </w:p>
    <w:p w:rsidR="00D7345A" w:rsidRPr="00A83452" w:rsidRDefault="00D7345A" w:rsidP="00C96A41">
      <w:pPr>
        <w:spacing w:before="120" w:after="120" w:line="240" w:lineRule="auto"/>
        <w:rPr>
          <w:rFonts w:cstheme="minorHAnsi"/>
        </w:rPr>
      </w:pPr>
      <w:r w:rsidRPr="00A83452">
        <w:rPr>
          <w:rFonts w:cstheme="minorHAnsi"/>
        </w:rPr>
        <w:t>(A) The National Register of Historic Places;</w:t>
      </w:r>
    </w:p>
    <w:p w:rsidR="00D7345A" w:rsidRPr="00A83452" w:rsidRDefault="00D7345A" w:rsidP="00C96A41">
      <w:pPr>
        <w:spacing w:before="120" w:after="120" w:line="240" w:lineRule="auto"/>
        <w:rPr>
          <w:rFonts w:cstheme="minorHAnsi"/>
        </w:rPr>
      </w:pPr>
      <w:r w:rsidRPr="00A83452">
        <w:rPr>
          <w:rFonts w:cstheme="minorHAnsi"/>
        </w:rPr>
        <w:t>(B) The Washington Heritage Register;</w:t>
      </w:r>
    </w:p>
    <w:p w:rsidR="00D7345A" w:rsidRPr="00A83452" w:rsidRDefault="00D7345A" w:rsidP="00C96A41">
      <w:pPr>
        <w:spacing w:before="120" w:after="120" w:line="240" w:lineRule="auto"/>
        <w:rPr>
          <w:rFonts w:cstheme="minorHAnsi"/>
        </w:rPr>
      </w:pPr>
      <w:r w:rsidRPr="00A83452">
        <w:rPr>
          <w:rFonts w:cstheme="minorHAnsi"/>
        </w:rPr>
        <w:t>(C) Properties that are identified by the department of archaeology and historic preservation (DAHP) to be eligible for listing in either one of these registers; and</w:t>
      </w:r>
    </w:p>
    <w:p w:rsidR="00D7345A" w:rsidRPr="00A83452" w:rsidRDefault="00D7345A" w:rsidP="00C96A41">
      <w:pPr>
        <w:spacing w:before="120" w:after="120" w:line="240" w:lineRule="auto"/>
        <w:rPr>
          <w:rFonts w:cstheme="minorHAnsi"/>
        </w:rPr>
      </w:pPr>
      <w:r w:rsidRPr="00A83452">
        <w:rPr>
          <w:rFonts w:cstheme="minorHAnsi"/>
        </w:rPr>
        <w:t>(D) Properties which are listed in a local register of historic places.</w:t>
      </w:r>
    </w:p>
    <w:p w:rsidR="0069349D" w:rsidRPr="00A83452" w:rsidRDefault="00D7345A" w:rsidP="00C96A41">
      <w:pPr>
        <w:spacing w:before="120" w:after="120" w:line="240" w:lineRule="auto"/>
        <w:rPr>
          <w:rFonts w:cstheme="minorHAnsi"/>
        </w:rPr>
      </w:pPr>
      <w:r w:rsidRPr="00A83452">
        <w:rPr>
          <w:rFonts w:cstheme="minorHAnsi"/>
        </w:rPr>
        <w:t>(E) Or other documentation approved by the AHJ.</w:t>
      </w:r>
    </w:p>
    <w:p w:rsidR="00D271FC" w:rsidRDefault="00D271FC" w:rsidP="00C96A41">
      <w:pPr>
        <w:spacing w:before="120" w:after="120" w:line="240" w:lineRule="auto"/>
        <w:rPr>
          <w:rFonts w:cstheme="minorHAnsi"/>
          <w:b/>
          <w:sz w:val="24"/>
        </w:rPr>
      </w:pPr>
    </w:p>
    <w:p w:rsidR="00D271FC" w:rsidRDefault="00D271FC" w:rsidP="00C96A41">
      <w:pPr>
        <w:spacing w:before="120" w:after="120" w:line="240" w:lineRule="auto"/>
        <w:rPr>
          <w:rFonts w:cstheme="minorHAnsi"/>
          <w:b/>
          <w:sz w:val="24"/>
        </w:rPr>
      </w:pPr>
    </w:p>
    <w:p w:rsidR="00A83452" w:rsidRPr="003032DF" w:rsidRDefault="00A83452" w:rsidP="00C96A41">
      <w:pPr>
        <w:spacing w:before="120" w:after="120" w:line="240" w:lineRule="auto"/>
        <w:rPr>
          <w:rFonts w:cstheme="minorHAnsi"/>
          <w:b/>
          <w:sz w:val="24"/>
        </w:rPr>
      </w:pPr>
      <w:r w:rsidRPr="00A83452">
        <w:rPr>
          <w:rFonts w:cstheme="minorHAnsi"/>
          <w:b/>
          <w:sz w:val="24"/>
        </w:rPr>
        <w:t>Z</w:t>
      </w:r>
      <w:r w:rsidR="006A7E6E">
        <w:rPr>
          <w:rFonts w:cstheme="minorHAnsi"/>
          <w:b/>
          <w:sz w:val="24"/>
        </w:rPr>
        <w:t>4</w:t>
      </w:r>
      <w:r w:rsidRPr="00A83452">
        <w:rPr>
          <w:rFonts w:cstheme="minorHAnsi"/>
          <w:b/>
          <w:sz w:val="24"/>
        </w:rPr>
        <w:t xml:space="preserve"> Notice of Violation of Non-Compliance</w:t>
      </w:r>
      <w:r w:rsidR="00FB1E45">
        <w:rPr>
          <w:rFonts w:cstheme="minorHAnsi"/>
          <w:b/>
          <w:sz w:val="24"/>
        </w:rPr>
        <w:t>, Fines, Mitigation</w:t>
      </w:r>
      <w:r w:rsidR="00F5160E">
        <w:rPr>
          <w:rFonts w:cstheme="minorHAnsi"/>
          <w:b/>
          <w:sz w:val="24"/>
        </w:rPr>
        <w:t>, and Appeals</w:t>
      </w:r>
      <w:r w:rsidR="006A7E6E">
        <w:rPr>
          <w:rFonts w:cstheme="minorHAnsi"/>
          <w:b/>
          <w:sz w:val="24"/>
        </w:rPr>
        <w:t>.</w:t>
      </w:r>
    </w:p>
    <w:p w:rsidR="00A83452" w:rsidRPr="003032DF" w:rsidRDefault="00F97F80" w:rsidP="00C96A41">
      <w:pPr>
        <w:spacing w:before="120" w:after="120" w:line="240" w:lineRule="auto"/>
      </w:pPr>
      <w:r w:rsidRPr="00E67F85">
        <w:rPr>
          <w:rFonts w:cstheme="minorHAnsi"/>
          <w:b/>
        </w:rPr>
        <w:t>Z4.</w:t>
      </w:r>
      <w:r w:rsidR="006A7E6E">
        <w:rPr>
          <w:rFonts w:cstheme="minorHAnsi"/>
          <w:b/>
        </w:rPr>
        <w:t>1</w:t>
      </w:r>
      <w:r w:rsidRPr="00E67F85">
        <w:rPr>
          <w:rFonts w:cstheme="minorHAnsi"/>
          <w:b/>
        </w:rPr>
        <w:t xml:space="preserve"> Authorization.</w:t>
      </w:r>
      <w:r>
        <w:rPr>
          <w:rFonts w:cstheme="minorHAnsi"/>
        </w:rPr>
        <w:t xml:space="preserve"> </w:t>
      </w:r>
      <w:r w:rsidR="00A83452" w:rsidRPr="003032DF">
        <w:t xml:space="preserve">Failure to submit documentation demonstrating compliance with the standard by the scheduled reporting date will result in progressive penalties by legal notice. The </w:t>
      </w:r>
      <w:r w:rsidRPr="003032DF">
        <w:t xml:space="preserve">AHJ </w:t>
      </w:r>
      <w:r w:rsidR="00A83452" w:rsidRPr="003032DF">
        <w:t>is authorized to impose an administrative penalty upon a building owner for failing to submit documentation demonstrating compliance with the requirements of this section. The penalty may not exceed an amount equal to five thousand dollars plus an amount based on the duration of any continuing violation. The additional amount for a continuing violation may not exceed a daily amount equal to one dollar per year per gross square foot of floor area. The department may by rule increase the maximum penalty rates to adjust for the effects of inflation. To respond to a notice a building owner may submit an appeal requesting mitigation of the penalty.</w:t>
      </w:r>
    </w:p>
    <w:p w:rsidR="00A83452" w:rsidRPr="00C96A41" w:rsidRDefault="00F97F80" w:rsidP="00C96A41">
      <w:pPr>
        <w:spacing w:before="120" w:after="120" w:line="240" w:lineRule="auto"/>
        <w:rPr>
          <w:rFonts w:cstheme="minorHAnsi"/>
          <w:sz w:val="24"/>
          <w:szCs w:val="24"/>
        </w:rPr>
      </w:pPr>
      <w:r w:rsidRPr="00893C2F">
        <w:rPr>
          <w:rFonts w:cstheme="minorHAnsi"/>
          <w:b/>
          <w:sz w:val="24"/>
          <w:szCs w:val="24"/>
        </w:rPr>
        <w:t xml:space="preserve">Z4.2 </w:t>
      </w:r>
      <w:r w:rsidR="00A83452" w:rsidRPr="00893C2F">
        <w:rPr>
          <w:rFonts w:cstheme="minorHAnsi"/>
          <w:b/>
          <w:sz w:val="24"/>
          <w:szCs w:val="24"/>
        </w:rPr>
        <w:t>Notice of Non-Compliance</w:t>
      </w:r>
      <w:r w:rsidR="00117C3C" w:rsidRPr="00893C2F">
        <w:rPr>
          <w:rFonts w:cstheme="minorHAnsi"/>
          <w:b/>
          <w:sz w:val="24"/>
          <w:szCs w:val="24"/>
        </w:rPr>
        <w:t xml:space="preserve"> (First Notice)</w:t>
      </w:r>
      <w:r w:rsidR="00893C2F">
        <w:rPr>
          <w:rFonts w:cstheme="minorHAnsi"/>
          <w:b/>
          <w:sz w:val="24"/>
          <w:szCs w:val="24"/>
        </w:rPr>
        <w:t>.</w:t>
      </w:r>
      <w:r w:rsidR="00117C3C" w:rsidRPr="00893C2F">
        <w:rPr>
          <w:rFonts w:cstheme="minorHAnsi"/>
          <w:b/>
          <w:sz w:val="24"/>
          <w:szCs w:val="24"/>
        </w:rPr>
        <w:t xml:space="preserve"> </w:t>
      </w:r>
    </w:p>
    <w:p w:rsidR="00A83452" w:rsidRPr="00A83452" w:rsidRDefault="00A83452" w:rsidP="00C96A41">
      <w:pPr>
        <w:pStyle w:val="ListParagraph"/>
        <w:spacing w:before="120" w:after="120"/>
        <w:ind w:left="0" w:firstLine="0"/>
        <w:rPr>
          <w:rFonts w:asciiTheme="minorHAnsi" w:hAnsiTheme="minorHAnsi" w:cstheme="minorHAnsi"/>
        </w:rPr>
      </w:pPr>
      <w:r w:rsidRPr="00A83452">
        <w:rPr>
          <w:rFonts w:asciiTheme="minorHAnsi" w:hAnsiTheme="minorHAnsi" w:cstheme="minorHAnsi"/>
        </w:rPr>
        <w:t>Building owners of non-complying covered buildings shall respond to a Notice of Non-Compliance within thirty (30) calendar days from the date of notice.</w:t>
      </w:r>
      <w:r w:rsidR="00917D70">
        <w:rPr>
          <w:rFonts w:asciiTheme="minorHAnsi" w:hAnsiTheme="minorHAnsi" w:cstheme="minorHAnsi"/>
        </w:rPr>
        <w:t xml:space="preserve"> </w:t>
      </w:r>
      <w:r w:rsidR="001A76BD">
        <w:rPr>
          <w:rFonts w:asciiTheme="minorHAnsi" w:hAnsiTheme="minorHAnsi" w:cstheme="minorHAnsi"/>
        </w:rPr>
        <w:t xml:space="preserve"> </w:t>
      </w:r>
      <w:r w:rsidRPr="00A83452">
        <w:rPr>
          <w:rFonts w:asciiTheme="minorHAnsi" w:hAnsiTheme="minorHAnsi" w:cstheme="minorHAnsi"/>
        </w:rPr>
        <w:t>Administrative Penalties</w:t>
      </w:r>
      <w:r w:rsidR="00F5160E">
        <w:rPr>
          <w:rFonts w:asciiTheme="minorHAnsi" w:hAnsiTheme="minorHAnsi" w:cstheme="minorHAnsi"/>
        </w:rPr>
        <w:t xml:space="preserve"> as described in Section Z4.5 will be assessed.</w:t>
      </w:r>
      <w:r w:rsidRPr="00A83452">
        <w:rPr>
          <w:rFonts w:asciiTheme="minorHAnsi" w:hAnsiTheme="minorHAnsi" w:cstheme="minorHAnsi"/>
        </w:rPr>
        <w:t xml:space="preserve"> </w:t>
      </w:r>
      <w:r w:rsidR="00F5160E">
        <w:rPr>
          <w:rFonts w:asciiTheme="minorHAnsi" w:hAnsiTheme="minorHAnsi" w:cstheme="minorHAnsi"/>
        </w:rPr>
        <w:t xml:space="preserve">Failure to respond </w:t>
      </w:r>
      <w:r w:rsidRPr="00A83452">
        <w:rPr>
          <w:rFonts w:asciiTheme="minorHAnsi" w:hAnsiTheme="minorHAnsi" w:cstheme="minorHAnsi"/>
        </w:rPr>
        <w:t xml:space="preserve">will </w:t>
      </w:r>
      <w:r w:rsidR="00F5160E">
        <w:rPr>
          <w:rFonts w:asciiTheme="minorHAnsi" w:hAnsiTheme="minorHAnsi" w:cstheme="minorHAnsi"/>
        </w:rPr>
        <w:t>result in</w:t>
      </w:r>
      <w:r w:rsidRPr="00A83452">
        <w:rPr>
          <w:rFonts w:asciiTheme="minorHAnsi" w:hAnsiTheme="minorHAnsi" w:cstheme="minorHAnsi"/>
        </w:rPr>
        <w:t xml:space="preserve"> </w:t>
      </w:r>
      <w:r w:rsidR="00F5160E">
        <w:rPr>
          <w:rFonts w:asciiTheme="minorHAnsi" w:hAnsiTheme="minorHAnsi" w:cstheme="minorHAnsi"/>
        </w:rPr>
        <w:t xml:space="preserve">Section Z4.3 </w:t>
      </w:r>
      <w:r w:rsidRPr="00A83452">
        <w:rPr>
          <w:rFonts w:asciiTheme="minorHAnsi" w:hAnsiTheme="minorHAnsi" w:cstheme="minorHAnsi"/>
        </w:rPr>
        <w:t>Notice of Violation.</w:t>
      </w:r>
    </w:p>
    <w:p w:rsidR="00BC094B" w:rsidRDefault="00A83452" w:rsidP="00C96A41">
      <w:pPr>
        <w:spacing w:before="120" w:after="120" w:line="240" w:lineRule="auto"/>
        <w:rPr>
          <w:rFonts w:cstheme="minorHAnsi"/>
        </w:rPr>
      </w:pPr>
      <w:r w:rsidRPr="00A83452">
        <w:rPr>
          <w:rFonts w:cstheme="minorHAnsi"/>
        </w:rPr>
        <w:t xml:space="preserve">To respond to a Notice of Non-Compliance, a building owner </w:t>
      </w:r>
      <w:r w:rsidR="000123A4">
        <w:rPr>
          <w:rFonts w:cstheme="minorHAnsi"/>
        </w:rPr>
        <w:t>shall</w:t>
      </w:r>
      <w:r w:rsidR="005207E2" w:rsidRPr="00A83452">
        <w:rPr>
          <w:rFonts w:cstheme="minorHAnsi"/>
        </w:rPr>
        <w:t xml:space="preserve"> </w:t>
      </w:r>
      <w:r w:rsidRPr="00A83452">
        <w:rPr>
          <w:rFonts w:cstheme="minorHAnsi"/>
        </w:rPr>
        <w:t>submit</w:t>
      </w:r>
      <w:r w:rsidR="000123A4">
        <w:rPr>
          <w:rFonts w:cstheme="minorHAnsi"/>
        </w:rPr>
        <w:t xml:space="preserve"> </w:t>
      </w:r>
      <w:r w:rsidR="00893C2F">
        <w:rPr>
          <w:rFonts w:cstheme="minorHAnsi"/>
        </w:rPr>
        <w:t xml:space="preserve">an </w:t>
      </w:r>
      <w:r w:rsidR="000123A4" w:rsidRPr="00E67F85">
        <w:rPr>
          <w:rFonts w:cstheme="minorHAnsi"/>
        </w:rPr>
        <w:t xml:space="preserve">application for exemption in accordance with </w:t>
      </w:r>
      <w:r w:rsidR="000123A4" w:rsidRPr="003032DF">
        <w:rPr>
          <w:rFonts w:cstheme="minorHAnsi"/>
        </w:rPr>
        <w:t>Section Z2.1 if applicable, a Preliminary Mitigation Plan in accordance with Z4.6.2.1, or an intent to pay maximum administrative penalty.</w:t>
      </w:r>
      <w:r w:rsidR="000123A4" w:rsidRPr="00E67F85">
        <w:rPr>
          <w:rFonts w:cstheme="minorHAnsi"/>
        </w:rPr>
        <w:t xml:space="preserve"> </w:t>
      </w:r>
    </w:p>
    <w:p w:rsidR="00836F66" w:rsidRDefault="00836F66" w:rsidP="00C96A41">
      <w:pPr>
        <w:spacing w:before="120" w:after="120" w:line="240" w:lineRule="auto"/>
        <w:rPr>
          <w:rFonts w:cstheme="minorHAnsi"/>
        </w:rPr>
      </w:pPr>
    </w:p>
    <w:p w:rsidR="00A83452" w:rsidRPr="00C96A41" w:rsidRDefault="006A7E6E" w:rsidP="00C96A41">
      <w:pPr>
        <w:spacing w:before="120" w:after="120" w:line="240" w:lineRule="auto"/>
        <w:rPr>
          <w:rFonts w:cstheme="minorHAnsi"/>
          <w:b/>
          <w:color w:val="FF0000"/>
          <w:sz w:val="24"/>
        </w:rPr>
      </w:pPr>
      <w:r w:rsidRPr="00893C2F">
        <w:rPr>
          <w:rFonts w:cstheme="minorHAnsi"/>
          <w:b/>
          <w:sz w:val="24"/>
        </w:rPr>
        <w:t xml:space="preserve">Z4.3 </w:t>
      </w:r>
      <w:r w:rsidR="00A83452" w:rsidRPr="00893C2F">
        <w:rPr>
          <w:rFonts w:cstheme="minorHAnsi"/>
          <w:b/>
          <w:sz w:val="24"/>
        </w:rPr>
        <w:t>Notice of Violation</w:t>
      </w:r>
      <w:r w:rsidR="00A07DDD" w:rsidRPr="00893C2F">
        <w:rPr>
          <w:rFonts w:cstheme="minorHAnsi"/>
          <w:b/>
          <w:sz w:val="24"/>
        </w:rPr>
        <w:t xml:space="preserve"> (Second Notice)</w:t>
      </w:r>
      <w:r w:rsidRPr="00893C2F">
        <w:rPr>
          <w:rFonts w:cstheme="minorHAnsi"/>
          <w:b/>
          <w:sz w:val="24"/>
        </w:rPr>
        <w:t>.</w:t>
      </w:r>
    </w:p>
    <w:p w:rsidR="005207E2" w:rsidRDefault="00A83452" w:rsidP="001A76BD">
      <w:pPr>
        <w:pStyle w:val="ListParagraph"/>
        <w:spacing w:before="120" w:after="120"/>
        <w:ind w:left="0" w:firstLine="0"/>
        <w:rPr>
          <w:rFonts w:asciiTheme="minorHAnsi" w:hAnsiTheme="minorHAnsi" w:cstheme="minorHAnsi"/>
        </w:rPr>
      </w:pPr>
      <w:r w:rsidRPr="00A83452">
        <w:rPr>
          <w:rFonts w:asciiTheme="minorHAnsi" w:hAnsiTheme="minorHAnsi" w:cstheme="minorHAnsi"/>
        </w:rPr>
        <w:t xml:space="preserve">Building owners of non-complying covered buildings shall respond to a Notice of Violation within </w:t>
      </w:r>
      <w:r w:rsidR="00820900">
        <w:rPr>
          <w:rFonts w:asciiTheme="minorHAnsi" w:hAnsiTheme="minorHAnsi" w:cstheme="minorHAnsi"/>
        </w:rPr>
        <w:t xml:space="preserve">sixty </w:t>
      </w:r>
      <w:r w:rsidRPr="00A83452">
        <w:rPr>
          <w:rFonts w:asciiTheme="minorHAnsi" w:hAnsiTheme="minorHAnsi" w:cstheme="minorHAnsi"/>
        </w:rPr>
        <w:t>(</w:t>
      </w:r>
      <w:r w:rsidR="00820900">
        <w:rPr>
          <w:rFonts w:asciiTheme="minorHAnsi" w:hAnsiTheme="minorHAnsi" w:cstheme="minorHAnsi"/>
        </w:rPr>
        <w:t>60</w:t>
      </w:r>
      <w:r w:rsidRPr="00A83452">
        <w:rPr>
          <w:rFonts w:asciiTheme="minorHAnsi" w:hAnsiTheme="minorHAnsi" w:cstheme="minorHAnsi"/>
        </w:rPr>
        <w:t xml:space="preserve">) calendar days from the </w:t>
      </w:r>
      <w:r w:rsidRPr="00E67F85">
        <w:rPr>
          <w:rFonts w:asciiTheme="minorHAnsi" w:hAnsiTheme="minorHAnsi" w:cstheme="minorHAnsi"/>
        </w:rPr>
        <w:t xml:space="preserve">date </w:t>
      </w:r>
      <w:r w:rsidR="001A76BD" w:rsidRPr="00E67F85">
        <w:rPr>
          <w:rFonts w:asciiTheme="minorHAnsi" w:hAnsiTheme="minorHAnsi" w:cstheme="minorHAnsi"/>
        </w:rPr>
        <w:t xml:space="preserve">of Z4.2 Notice of Non-Compliance. </w:t>
      </w:r>
      <w:r w:rsidR="00820900" w:rsidRPr="00E67F85">
        <w:rPr>
          <w:rFonts w:asciiTheme="minorHAnsi" w:hAnsiTheme="minorHAnsi" w:cstheme="minorHAnsi"/>
        </w:rPr>
        <w:t xml:space="preserve"> </w:t>
      </w:r>
      <w:r w:rsidR="00F5160E" w:rsidRPr="00A83452">
        <w:rPr>
          <w:rFonts w:asciiTheme="minorHAnsi" w:hAnsiTheme="minorHAnsi" w:cstheme="minorHAnsi"/>
        </w:rPr>
        <w:t>Administrative Penalties</w:t>
      </w:r>
      <w:r w:rsidR="00F5160E">
        <w:rPr>
          <w:rFonts w:asciiTheme="minorHAnsi" w:hAnsiTheme="minorHAnsi" w:cstheme="minorHAnsi"/>
        </w:rPr>
        <w:t xml:space="preserve"> as described in Section Z4.5 will be assessed.</w:t>
      </w:r>
      <w:r w:rsidR="00F5160E" w:rsidRPr="00A83452">
        <w:rPr>
          <w:rFonts w:asciiTheme="minorHAnsi" w:hAnsiTheme="minorHAnsi" w:cstheme="minorHAnsi"/>
        </w:rPr>
        <w:t xml:space="preserve"> </w:t>
      </w:r>
      <w:r w:rsidR="00F5160E">
        <w:rPr>
          <w:rFonts w:asciiTheme="minorHAnsi" w:hAnsiTheme="minorHAnsi" w:cstheme="minorHAnsi"/>
        </w:rPr>
        <w:t xml:space="preserve">Failure to respond </w:t>
      </w:r>
      <w:r w:rsidR="00F5160E" w:rsidRPr="00A83452">
        <w:rPr>
          <w:rFonts w:asciiTheme="minorHAnsi" w:hAnsiTheme="minorHAnsi" w:cstheme="minorHAnsi"/>
        </w:rPr>
        <w:t xml:space="preserve">will </w:t>
      </w:r>
      <w:r w:rsidR="00F5160E">
        <w:rPr>
          <w:rFonts w:asciiTheme="minorHAnsi" w:hAnsiTheme="minorHAnsi" w:cstheme="minorHAnsi"/>
        </w:rPr>
        <w:t>result in</w:t>
      </w:r>
      <w:r w:rsidR="00F5160E" w:rsidRPr="00A83452">
        <w:rPr>
          <w:rFonts w:asciiTheme="minorHAnsi" w:hAnsiTheme="minorHAnsi" w:cstheme="minorHAnsi"/>
        </w:rPr>
        <w:t xml:space="preserve"> </w:t>
      </w:r>
      <w:r w:rsidR="00F5160E">
        <w:rPr>
          <w:rFonts w:asciiTheme="minorHAnsi" w:hAnsiTheme="minorHAnsi" w:cstheme="minorHAnsi"/>
        </w:rPr>
        <w:t xml:space="preserve">Section Z4.4 </w:t>
      </w:r>
      <w:r w:rsidR="00F5160E" w:rsidRPr="00A83452">
        <w:rPr>
          <w:rFonts w:asciiTheme="minorHAnsi" w:hAnsiTheme="minorHAnsi" w:cstheme="minorHAnsi"/>
        </w:rPr>
        <w:t xml:space="preserve">Notice of </w:t>
      </w:r>
      <w:r w:rsidR="00F5160E">
        <w:rPr>
          <w:rFonts w:asciiTheme="minorHAnsi" w:hAnsiTheme="minorHAnsi" w:cstheme="minorHAnsi"/>
        </w:rPr>
        <w:t>Penalty Enforcement</w:t>
      </w:r>
      <w:r w:rsidR="00F5160E" w:rsidRPr="00A83452">
        <w:rPr>
          <w:rFonts w:asciiTheme="minorHAnsi" w:hAnsiTheme="minorHAnsi" w:cstheme="minorHAnsi"/>
        </w:rPr>
        <w:t>.</w:t>
      </w:r>
    </w:p>
    <w:p w:rsidR="00917D70" w:rsidRDefault="005E5D37" w:rsidP="001A76BD">
      <w:pPr>
        <w:pStyle w:val="ListParagraph"/>
        <w:spacing w:before="120" w:after="120"/>
        <w:ind w:left="0" w:firstLine="0"/>
      </w:pPr>
      <w:r>
        <w:rPr>
          <w:rFonts w:asciiTheme="minorHAnsi" w:hAnsiTheme="minorHAnsi" w:cstheme="minorHAnsi"/>
        </w:rPr>
        <w:t>To respond to a Notice of Violati</w:t>
      </w:r>
      <w:r w:rsidR="000123A4" w:rsidRPr="00A83452">
        <w:rPr>
          <w:rFonts w:asciiTheme="minorHAnsi" w:hAnsiTheme="minorHAnsi" w:cstheme="minorHAnsi"/>
        </w:rPr>
        <w:t>on</w:t>
      </w:r>
      <w:r>
        <w:rPr>
          <w:rFonts w:asciiTheme="minorHAnsi" w:hAnsiTheme="minorHAnsi" w:cstheme="minorHAnsi"/>
        </w:rPr>
        <w:t xml:space="preserve"> </w:t>
      </w:r>
      <w:r w:rsidR="000123A4" w:rsidRPr="00A83452">
        <w:rPr>
          <w:rFonts w:asciiTheme="minorHAnsi" w:hAnsiTheme="minorHAnsi" w:cstheme="minorHAnsi"/>
        </w:rPr>
        <w:t xml:space="preserve">a building owner </w:t>
      </w:r>
      <w:r w:rsidR="000123A4">
        <w:rPr>
          <w:rFonts w:asciiTheme="minorHAnsi" w:hAnsiTheme="minorHAnsi" w:cstheme="minorHAnsi"/>
        </w:rPr>
        <w:t>shall</w:t>
      </w:r>
      <w:r w:rsidR="000123A4" w:rsidRPr="00A83452">
        <w:rPr>
          <w:rFonts w:asciiTheme="minorHAnsi" w:hAnsiTheme="minorHAnsi" w:cstheme="minorHAnsi"/>
        </w:rPr>
        <w:t xml:space="preserve"> submit</w:t>
      </w:r>
      <w:r w:rsidR="000123A4">
        <w:rPr>
          <w:rFonts w:asciiTheme="minorHAnsi" w:hAnsiTheme="minorHAnsi" w:cstheme="minorHAnsi"/>
        </w:rPr>
        <w:t xml:space="preserve"> </w:t>
      </w:r>
      <w:r w:rsidR="000123A4" w:rsidRPr="00E67F85">
        <w:rPr>
          <w:rFonts w:asciiTheme="minorHAnsi" w:hAnsiTheme="minorHAnsi" w:cstheme="minorHAnsi"/>
        </w:rPr>
        <w:t xml:space="preserve">application for exemption in accordance with Section Z2.1 if applicable, </w:t>
      </w:r>
      <w:r w:rsidR="000123A4">
        <w:rPr>
          <w:rFonts w:asciiTheme="minorHAnsi" w:hAnsiTheme="minorHAnsi" w:cstheme="minorHAnsi"/>
        </w:rPr>
        <w:t xml:space="preserve">a </w:t>
      </w:r>
      <w:r w:rsidR="000123A4" w:rsidRPr="00E67F85">
        <w:rPr>
          <w:rFonts w:asciiTheme="minorHAnsi" w:hAnsiTheme="minorHAnsi" w:cstheme="minorHAnsi"/>
        </w:rPr>
        <w:t>Preliminary Mitigation Plan in accordance with Z4.6.2.1, or an intent to pay maximum administrative penalty</w:t>
      </w:r>
      <w:r>
        <w:rPr>
          <w:rFonts w:asciiTheme="minorHAnsi" w:hAnsiTheme="minorHAnsi" w:cstheme="minorHAnsi"/>
        </w:rPr>
        <w:t>.</w:t>
      </w:r>
      <w:r w:rsidR="000123A4" w:rsidRPr="00E67F85">
        <w:rPr>
          <w:rFonts w:asciiTheme="minorHAnsi" w:hAnsiTheme="minorHAnsi" w:cstheme="minorHAnsi"/>
        </w:rPr>
        <w:t xml:space="preserve"> </w:t>
      </w:r>
    </w:p>
    <w:p w:rsidR="00836F66" w:rsidRDefault="00836F66" w:rsidP="00721EFD">
      <w:pPr>
        <w:rPr>
          <w:rFonts w:cstheme="minorHAnsi"/>
          <w:b/>
          <w:sz w:val="24"/>
        </w:rPr>
      </w:pPr>
    </w:p>
    <w:p w:rsidR="00A83452" w:rsidRPr="00721EFD" w:rsidRDefault="006A7E6E" w:rsidP="00721EFD">
      <w:pPr>
        <w:rPr>
          <w:rFonts w:cstheme="minorHAnsi"/>
          <w:b/>
          <w:sz w:val="24"/>
          <w:highlight w:val="yellow"/>
        </w:rPr>
      </w:pPr>
      <w:r w:rsidRPr="00E67F85">
        <w:rPr>
          <w:rFonts w:cstheme="minorHAnsi"/>
          <w:b/>
          <w:sz w:val="24"/>
        </w:rPr>
        <w:t xml:space="preserve">Z4.4 </w:t>
      </w:r>
      <w:r w:rsidR="00A83452" w:rsidRPr="00E67F85">
        <w:rPr>
          <w:rFonts w:cstheme="minorHAnsi"/>
          <w:b/>
          <w:sz w:val="24"/>
        </w:rPr>
        <w:t>Notice of Penalty Enforcement</w:t>
      </w:r>
      <w:r w:rsidR="00A83452" w:rsidRPr="00C96A41">
        <w:rPr>
          <w:rFonts w:cstheme="minorHAnsi"/>
          <w:b/>
          <w:sz w:val="24"/>
        </w:rPr>
        <w:t xml:space="preserve"> </w:t>
      </w:r>
      <w:r w:rsidR="00A07DDD" w:rsidRPr="00C96A41">
        <w:rPr>
          <w:rFonts w:cstheme="minorHAnsi"/>
          <w:b/>
          <w:sz w:val="24"/>
        </w:rPr>
        <w:t>(</w:t>
      </w:r>
      <w:r w:rsidR="00820900">
        <w:rPr>
          <w:rFonts w:cstheme="minorHAnsi"/>
          <w:b/>
          <w:sz w:val="24"/>
        </w:rPr>
        <w:t>Final</w:t>
      </w:r>
      <w:r w:rsidR="00820900" w:rsidRPr="00C96A41">
        <w:rPr>
          <w:rFonts w:cstheme="minorHAnsi"/>
          <w:b/>
          <w:sz w:val="24"/>
        </w:rPr>
        <w:t xml:space="preserve"> </w:t>
      </w:r>
      <w:r w:rsidR="00A07DDD" w:rsidRPr="00C96A41">
        <w:rPr>
          <w:rFonts w:cstheme="minorHAnsi"/>
          <w:b/>
          <w:sz w:val="24"/>
        </w:rPr>
        <w:t>Notice)</w:t>
      </w:r>
      <w:r w:rsidR="00CB54A6">
        <w:rPr>
          <w:rFonts w:cstheme="minorHAnsi"/>
          <w:b/>
          <w:sz w:val="24"/>
        </w:rPr>
        <w:t>.</w:t>
      </w:r>
    </w:p>
    <w:p w:rsidR="00A83452" w:rsidRPr="00A83452" w:rsidRDefault="00A83452" w:rsidP="00C96A41">
      <w:pPr>
        <w:pStyle w:val="ListParagraph"/>
        <w:spacing w:before="120" w:after="120"/>
        <w:ind w:left="0" w:firstLine="0"/>
        <w:rPr>
          <w:rFonts w:asciiTheme="minorHAnsi" w:hAnsiTheme="minorHAnsi" w:cstheme="minorHAnsi"/>
        </w:rPr>
      </w:pPr>
      <w:r w:rsidRPr="00A83452">
        <w:rPr>
          <w:rFonts w:asciiTheme="minorHAnsi" w:hAnsiTheme="minorHAnsi" w:cstheme="minorHAnsi"/>
        </w:rPr>
        <w:t xml:space="preserve">Building owners of non-complying covered buildings shall respond to a Notice of Penalty within </w:t>
      </w:r>
      <w:r w:rsidR="00820900">
        <w:rPr>
          <w:rFonts w:asciiTheme="minorHAnsi" w:hAnsiTheme="minorHAnsi" w:cstheme="minorHAnsi"/>
        </w:rPr>
        <w:t>one hund</w:t>
      </w:r>
      <w:r w:rsidR="00E67F85">
        <w:rPr>
          <w:rFonts w:asciiTheme="minorHAnsi" w:hAnsiTheme="minorHAnsi" w:cstheme="minorHAnsi"/>
        </w:rPr>
        <w:t>r</w:t>
      </w:r>
      <w:r w:rsidR="00820900">
        <w:rPr>
          <w:rFonts w:asciiTheme="minorHAnsi" w:hAnsiTheme="minorHAnsi" w:cstheme="minorHAnsi"/>
        </w:rPr>
        <w:t>ed twenty</w:t>
      </w:r>
      <w:r w:rsidR="00820900" w:rsidRPr="00A83452">
        <w:rPr>
          <w:rFonts w:asciiTheme="minorHAnsi" w:hAnsiTheme="minorHAnsi" w:cstheme="minorHAnsi"/>
        </w:rPr>
        <w:t xml:space="preserve"> </w:t>
      </w:r>
      <w:r w:rsidRPr="00A83452">
        <w:rPr>
          <w:rFonts w:asciiTheme="minorHAnsi" w:hAnsiTheme="minorHAnsi" w:cstheme="minorHAnsi"/>
        </w:rPr>
        <w:t>(</w:t>
      </w:r>
      <w:r w:rsidR="00820900">
        <w:rPr>
          <w:rFonts w:asciiTheme="minorHAnsi" w:hAnsiTheme="minorHAnsi" w:cstheme="minorHAnsi"/>
        </w:rPr>
        <w:t>120</w:t>
      </w:r>
      <w:r w:rsidRPr="00A83452">
        <w:rPr>
          <w:rFonts w:asciiTheme="minorHAnsi" w:hAnsiTheme="minorHAnsi" w:cstheme="minorHAnsi"/>
        </w:rPr>
        <w:t xml:space="preserve">) calendar days from the </w:t>
      </w:r>
      <w:r w:rsidR="00820900" w:rsidRPr="00820900">
        <w:rPr>
          <w:rFonts w:asciiTheme="minorHAnsi" w:hAnsiTheme="minorHAnsi" w:cstheme="minorHAnsi"/>
        </w:rPr>
        <w:t xml:space="preserve">date </w:t>
      </w:r>
      <w:r w:rsidR="00820900" w:rsidRPr="00E67F85">
        <w:rPr>
          <w:rFonts w:asciiTheme="minorHAnsi" w:hAnsiTheme="minorHAnsi" w:cstheme="minorHAnsi"/>
        </w:rPr>
        <w:t xml:space="preserve">of Z4.2 Notice of Non-Compliance.  </w:t>
      </w:r>
      <w:r w:rsidRPr="00A83452">
        <w:rPr>
          <w:rFonts w:asciiTheme="minorHAnsi" w:hAnsiTheme="minorHAnsi" w:cstheme="minorHAnsi"/>
        </w:rPr>
        <w:t xml:space="preserve">Failure to respond will result in a fine assessed in accordance </w:t>
      </w:r>
      <w:r w:rsidRPr="00820900">
        <w:rPr>
          <w:rFonts w:asciiTheme="minorHAnsi" w:hAnsiTheme="minorHAnsi" w:cstheme="minorHAnsi"/>
        </w:rPr>
        <w:t xml:space="preserve">with Section </w:t>
      </w:r>
      <w:r w:rsidR="00917D70" w:rsidRPr="00820900">
        <w:rPr>
          <w:rFonts w:asciiTheme="minorHAnsi" w:hAnsiTheme="minorHAnsi" w:cstheme="minorHAnsi"/>
        </w:rPr>
        <w:t>Z4.5</w:t>
      </w:r>
      <w:r w:rsidRPr="00A83452">
        <w:rPr>
          <w:rFonts w:asciiTheme="minorHAnsi" w:hAnsiTheme="minorHAnsi" w:cstheme="minorHAnsi"/>
        </w:rPr>
        <w:t xml:space="preserve"> Administrative</w:t>
      </w:r>
      <w:r w:rsidR="008867B1">
        <w:rPr>
          <w:rFonts w:asciiTheme="minorHAnsi" w:hAnsiTheme="minorHAnsi" w:cstheme="minorHAnsi"/>
        </w:rPr>
        <w:t xml:space="preserve"> </w:t>
      </w:r>
      <w:r w:rsidR="00917D70">
        <w:rPr>
          <w:rFonts w:asciiTheme="minorHAnsi" w:hAnsiTheme="minorHAnsi" w:cstheme="minorHAnsi"/>
        </w:rPr>
        <w:t>Penalties</w:t>
      </w:r>
      <w:r w:rsidRPr="00A83452">
        <w:rPr>
          <w:rFonts w:asciiTheme="minorHAnsi" w:hAnsiTheme="minorHAnsi" w:cstheme="minorHAnsi"/>
        </w:rPr>
        <w:t>. To respond to a</w:t>
      </w:r>
      <w:r w:rsidR="00CB54A6">
        <w:rPr>
          <w:rFonts w:asciiTheme="minorHAnsi" w:hAnsiTheme="minorHAnsi" w:cstheme="minorHAnsi"/>
        </w:rPr>
        <w:t xml:space="preserve"> Notice of</w:t>
      </w:r>
      <w:r w:rsidRPr="00A83452">
        <w:rPr>
          <w:rFonts w:asciiTheme="minorHAnsi" w:hAnsiTheme="minorHAnsi" w:cstheme="minorHAnsi"/>
        </w:rPr>
        <w:t xml:space="preserve"> Penalty Enforcement, a building owner shall pay the penalty, or submit a</w:t>
      </w:r>
      <w:r w:rsidR="005E5D37">
        <w:rPr>
          <w:rFonts w:asciiTheme="minorHAnsi" w:hAnsiTheme="minorHAnsi" w:cstheme="minorHAnsi"/>
        </w:rPr>
        <w:t xml:space="preserve"> request for administrative appeal</w:t>
      </w:r>
      <w:r w:rsidRPr="00A83452">
        <w:rPr>
          <w:rFonts w:asciiTheme="minorHAnsi" w:hAnsiTheme="minorHAnsi" w:cstheme="minorHAnsi"/>
        </w:rPr>
        <w:t xml:space="preserve">. To request an </w:t>
      </w:r>
      <w:r w:rsidR="005E5D37">
        <w:rPr>
          <w:rFonts w:asciiTheme="minorHAnsi" w:hAnsiTheme="minorHAnsi" w:cstheme="minorHAnsi"/>
        </w:rPr>
        <w:t xml:space="preserve">administrative </w:t>
      </w:r>
      <w:r w:rsidRPr="00A83452">
        <w:rPr>
          <w:rFonts w:asciiTheme="minorHAnsi" w:hAnsiTheme="minorHAnsi" w:cstheme="minorHAnsi"/>
        </w:rPr>
        <w:t xml:space="preserve">appeal see </w:t>
      </w:r>
      <w:r w:rsidRPr="00E67F85">
        <w:rPr>
          <w:rFonts w:asciiTheme="minorHAnsi" w:hAnsiTheme="minorHAnsi" w:cstheme="minorHAnsi"/>
        </w:rPr>
        <w:t xml:space="preserve">Section </w:t>
      </w:r>
      <w:r w:rsidR="002B7433">
        <w:rPr>
          <w:rFonts w:asciiTheme="minorHAnsi" w:hAnsiTheme="minorHAnsi" w:cstheme="minorHAnsi"/>
        </w:rPr>
        <w:t>Z4.7</w:t>
      </w:r>
      <w:r w:rsidR="005E5D37">
        <w:rPr>
          <w:rFonts w:asciiTheme="minorHAnsi" w:hAnsiTheme="minorHAnsi" w:cstheme="minorHAnsi"/>
        </w:rPr>
        <w:t xml:space="preserve"> Administrative</w:t>
      </w:r>
      <w:r w:rsidRPr="00A83452">
        <w:rPr>
          <w:rFonts w:asciiTheme="minorHAnsi" w:hAnsiTheme="minorHAnsi" w:cstheme="minorHAnsi"/>
        </w:rPr>
        <w:t xml:space="preserve"> Appeals.</w:t>
      </w:r>
    </w:p>
    <w:p w:rsidR="00117C3C" w:rsidRDefault="00117C3C" w:rsidP="00C96A41">
      <w:pPr>
        <w:spacing w:before="120" w:after="120" w:line="240" w:lineRule="auto"/>
        <w:rPr>
          <w:rFonts w:eastAsia="Times New Roman" w:cstheme="minorHAnsi"/>
          <w:b/>
          <w:color w:val="000000"/>
        </w:rPr>
      </w:pPr>
    </w:p>
    <w:p w:rsidR="00A83452" w:rsidRPr="00A13174" w:rsidRDefault="0085767D" w:rsidP="00C96A41">
      <w:pPr>
        <w:spacing w:before="120" w:after="120" w:line="240" w:lineRule="auto"/>
        <w:rPr>
          <w:rFonts w:eastAsia="Times New Roman" w:cstheme="minorHAnsi"/>
          <w:b/>
          <w:color w:val="000000"/>
          <w:sz w:val="24"/>
        </w:rPr>
      </w:pPr>
      <w:r>
        <w:rPr>
          <w:rFonts w:eastAsia="Times New Roman" w:cstheme="minorHAnsi"/>
          <w:b/>
          <w:color w:val="000000"/>
          <w:sz w:val="24"/>
        </w:rPr>
        <w:t xml:space="preserve">Z4.5 </w:t>
      </w:r>
      <w:r w:rsidR="00A83452" w:rsidRPr="00A13174">
        <w:rPr>
          <w:rFonts w:eastAsia="Times New Roman" w:cstheme="minorHAnsi"/>
          <w:b/>
          <w:color w:val="000000"/>
          <w:sz w:val="24"/>
        </w:rPr>
        <w:t>Administrative Penalties</w:t>
      </w:r>
    </w:p>
    <w:p w:rsidR="00A30F75" w:rsidRDefault="00A83452" w:rsidP="00C96A41">
      <w:pPr>
        <w:spacing w:before="120" w:after="120" w:line="240" w:lineRule="auto"/>
        <w:rPr>
          <w:rFonts w:eastAsia="Times New Roman" w:cstheme="minorHAnsi"/>
          <w:color w:val="000000"/>
        </w:rPr>
      </w:pPr>
      <w:r w:rsidRPr="00A83452">
        <w:rPr>
          <w:rFonts w:eastAsia="Times New Roman" w:cstheme="minorHAnsi"/>
          <w:color w:val="000000"/>
        </w:rPr>
        <w:t>Failure to submit documentation demonstrating compliance with the standard by the scheduled reporting date will result in Penalty Enforcement with assessed penalties.</w:t>
      </w:r>
      <w:r w:rsidR="00A30F75" w:rsidRPr="00A30F75">
        <w:rPr>
          <w:rFonts w:cstheme="minorHAnsi"/>
        </w:rPr>
        <w:t xml:space="preserve"> </w:t>
      </w:r>
      <w:r w:rsidR="00A30F75" w:rsidRPr="00A83452">
        <w:rPr>
          <w:rFonts w:cstheme="minorHAnsi"/>
        </w:rPr>
        <w:t>The department may by rule increase the penalty rates to adjust for the effects of inflation</w:t>
      </w:r>
      <w:r w:rsidR="00A30F75">
        <w:rPr>
          <w:rFonts w:cstheme="minorHAnsi"/>
        </w:rPr>
        <w:t xml:space="preserve">. </w:t>
      </w:r>
      <w:r w:rsidRPr="00A83452">
        <w:rPr>
          <w:rFonts w:eastAsia="Times New Roman" w:cstheme="minorHAnsi"/>
          <w:color w:val="000000"/>
        </w:rPr>
        <w:t xml:space="preserve"> Penalties will be assessed after the </w:t>
      </w:r>
      <w:r w:rsidR="00836F66" w:rsidRPr="00A83452">
        <w:rPr>
          <w:rFonts w:eastAsia="Times New Roman" w:cstheme="minorHAnsi"/>
          <w:color w:val="000000"/>
        </w:rPr>
        <w:t>buildings</w:t>
      </w:r>
      <w:r w:rsidR="003032DF">
        <w:rPr>
          <w:rFonts w:eastAsia="Times New Roman" w:cstheme="minorHAnsi"/>
          <w:color w:val="000000"/>
        </w:rPr>
        <w:t xml:space="preserve"> </w:t>
      </w:r>
      <w:r w:rsidR="008867B1">
        <w:rPr>
          <w:rFonts w:eastAsia="Times New Roman" w:cstheme="minorHAnsi"/>
          <w:color w:val="000000"/>
        </w:rPr>
        <w:t xml:space="preserve">scheduled </w:t>
      </w:r>
      <w:r w:rsidRPr="00A83452">
        <w:rPr>
          <w:rFonts w:eastAsia="Times New Roman" w:cstheme="minorHAnsi"/>
          <w:color w:val="000000"/>
        </w:rPr>
        <w:t>compliance deadline</w:t>
      </w:r>
      <w:r w:rsidR="00A30F75">
        <w:rPr>
          <w:rFonts w:eastAsia="Times New Roman" w:cstheme="minorHAnsi"/>
          <w:color w:val="000000"/>
        </w:rPr>
        <w:t xml:space="preserve"> based on the following; </w:t>
      </w:r>
    </w:p>
    <w:p w:rsidR="00A30F75" w:rsidRDefault="00A30F75" w:rsidP="003032DF">
      <w:pPr>
        <w:spacing w:before="120" w:after="120" w:line="240" w:lineRule="auto"/>
        <w:ind w:left="720"/>
        <w:rPr>
          <w:rFonts w:eastAsia="Times New Roman" w:cstheme="minorHAnsi"/>
          <w:color w:val="000000"/>
        </w:rPr>
      </w:pPr>
      <w:r>
        <w:rPr>
          <w:rFonts w:eastAsia="Times New Roman" w:cstheme="minorHAnsi"/>
          <w:color w:val="000000"/>
        </w:rPr>
        <w:t>(a)For building owners who respond by submitting a mitigation plan</w:t>
      </w:r>
      <w:r w:rsidR="00A83452" w:rsidRPr="00A83452">
        <w:rPr>
          <w:rFonts w:eastAsia="Times New Roman" w:cstheme="minorHAnsi"/>
          <w:color w:val="000000"/>
        </w:rPr>
        <w:t xml:space="preserve"> </w:t>
      </w:r>
      <w:r>
        <w:rPr>
          <w:rFonts w:eastAsia="Times New Roman" w:cstheme="minorHAnsi"/>
          <w:color w:val="000000"/>
        </w:rPr>
        <w:t>d</w:t>
      </w:r>
      <w:r w:rsidR="00A83452" w:rsidRPr="00A83452">
        <w:rPr>
          <w:rFonts w:eastAsia="Times New Roman" w:cstheme="minorHAnsi"/>
          <w:color w:val="000000"/>
        </w:rPr>
        <w:t>aily fines are assessed from the scheduled compliance date</w:t>
      </w:r>
      <w:r w:rsidR="006F3641">
        <w:rPr>
          <w:rFonts w:eastAsia="Times New Roman" w:cstheme="minorHAnsi"/>
          <w:color w:val="000000"/>
        </w:rPr>
        <w:t xml:space="preserve"> to the date of </w:t>
      </w:r>
      <w:r w:rsidR="003032DF">
        <w:rPr>
          <w:rFonts w:eastAsia="Times New Roman" w:cstheme="minorHAnsi"/>
          <w:color w:val="000000"/>
        </w:rPr>
        <w:t xml:space="preserve">approval of </w:t>
      </w:r>
      <w:r w:rsidR="00D207F7">
        <w:rPr>
          <w:rFonts w:eastAsia="Times New Roman" w:cstheme="minorHAnsi"/>
          <w:color w:val="000000"/>
        </w:rPr>
        <w:t xml:space="preserve">Compliance or </w:t>
      </w:r>
      <w:r w:rsidR="006F3641">
        <w:rPr>
          <w:rFonts w:eastAsia="Times New Roman" w:cstheme="minorHAnsi"/>
          <w:color w:val="000000"/>
        </w:rPr>
        <w:t>Conditional Compliance</w:t>
      </w:r>
      <w:r w:rsidR="002A1450">
        <w:rPr>
          <w:rFonts w:eastAsia="Times New Roman" w:cstheme="minorHAnsi"/>
          <w:color w:val="000000"/>
        </w:rPr>
        <w:t xml:space="preserve"> and</w:t>
      </w:r>
      <w:r w:rsidR="00A83452" w:rsidRPr="00A83452">
        <w:rPr>
          <w:rFonts w:eastAsia="Times New Roman" w:cstheme="minorHAnsi"/>
          <w:color w:val="000000"/>
        </w:rPr>
        <w:t xml:space="preserve"> are assessed at an amount not to exceed </w:t>
      </w:r>
      <w:r w:rsidR="007F0E7A">
        <w:rPr>
          <w:rFonts w:eastAsia="Times New Roman" w:cstheme="minorHAnsi"/>
          <w:color w:val="000000"/>
        </w:rPr>
        <w:t xml:space="preserve">30% of </w:t>
      </w:r>
      <w:r w:rsidR="00A83452" w:rsidRPr="00A83452">
        <w:rPr>
          <w:rFonts w:eastAsia="Times New Roman" w:cstheme="minorHAnsi"/>
          <w:color w:val="000000"/>
        </w:rPr>
        <w:t xml:space="preserve">five thousand dollars plus a daily amount equal to </w:t>
      </w:r>
      <w:r w:rsidR="006F3641">
        <w:rPr>
          <w:rFonts w:eastAsia="Times New Roman" w:cstheme="minorHAnsi"/>
          <w:color w:val="000000"/>
        </w:rPr>
        <w:t>$0.20</w:t>
      </w:r>
      <w:r w:rsidR="00A83452" w:rsidRPr="00A83452">
        <w:rPr>
          <w:rFonts w:eastAsia="Times New Roman" w:cstheme="minorHAnsi"/>
          <w:color w:val="000000"/>
        </w:rPr>
        <w:t xml:space="preserve"> per gross square foot of floor area</w:t>
      </w:r>
      <w:r w:rsidR="005E5D37">
        <w:rPr>
          <w:rFonts w:eastAsia="Times New Roman" w:cstheme="minorHAnsi"/>
          <w:color w:val="000000"/>
        </w:rPr>
        <w:t xml:space="preserve"> per year</w:t>
      </w:r>
      <w:r w:rsidR="003032DF">
        <w:rPr>
          <w:rFonts w:eastAsia="Times New Roman" w:cstheme="minorHAnsi"/>
          <w:color w:val="000000"/>
        </w:rPr>
        <w:t>.</w:t>
      </w:r>
    </w:p>
    <w:p w:rsidR="00A83452" w:rsidRDefault="00A30F75" w:rsidP="003032DF">
      <w:pPr>
        <w:spacing w:before="120" w:after="120" w:line="240" w:lineRule="auto"/>
        <w:ind w:left="720"/>
        <w:rPr>
          <w:rFonts w:eastAsia="Times New Roman" w:cstheme="minorHAnsi"/>
          <w:color w:val="000000"/>
        </w:rPr>
      </w:pPr>
      <w:r>
        <w:rPr>
          <w:rFonts w:eastAsia="Times New Roman" w:cstheme="minorHAnsi"/>
          <w:color w:val="000000"/>
        </w:rPr>
        <w:t>(b)</w:t>
      </w:r>
      <w:r w:rsidR="00A83452" w:rsidRPr="00A83452" w:rsidDel="0034654D">
        <w:rPr>
          <w:rFonts w:eastAsia="Times New Roman" w:cstheme="minorHAnsi"/>
          <w:color w:val="000000"/>
        </w:rPr>
        <w:t xml:space="preserve"> </w:t>
      </w:r>
      <w:r w:rsidR="008867B1">
        <w:rPr>
          <w:rFonts w:eastAsia="Times New Roman" w:cstheme="minorHAnsi"/>
          <w:color w:val="000000"/>
        </w:rPr>
        <w:t>Failure to respond to Notice of Penalty</w:t>
      </w:r>
      <w:r w:rsidR="000117B5">
        <w:rPr>
          <w:rFonts w:eastAsia="Times New Roman" w:cstheme="minorHAnsi"/>
          <w:color w:val="000000"/>
        </w:rPr>
        <w:t xml:space="preserve"> Enforcement within </w:t>
      </w:r>
      <w:r w:rsidR="00FA57E4">
        <w:rPr>
          <w:rFonts w:eastAsia="Times New Roman" w:cstheme="minorHAnsi"/>
          <w:color w:val="000000"/>
        </w:rPr>
        <w:t xml:space="preserve">sixty (60) calendar days will </w:t>
      </w:r>
      <w:r w:rsidR="008867B1">
        <w:rPr>
          <w:rFonts w:eastAsia="Times New Roman" w:cstheme="minorHAnsi"/>
          <w:color w:val="000000"/>
        </w:rPr>
        <w:t>result in maximum</w:t>
      </w:r>
      <w:r w:rsidR="000117B5">
        <w:rPr>
          <w:rFonts w:eastAsia="Times New Roman" w:cstheme="minorHAnsi"/>
          <w:color w:val="000000"/>
        </w:rPr>
        <w:t xml:space="preserve"> penalty enforcement </w:t>
      </w:r>
      <w:r w:rsidR="000117B5" w:rsidRPr="00A83452">
        <w:rPr>
          <w:rFonts w:cstheme="minorHAnsi"/>
        </w:rPr>
        <w:t xml:space="preserve">equal to five </w:t>
      </w:r>
      <w:r w:rsidR="00FA57E4">
        <w:rPr>
          <w:rFonts w:cstheme="minorHAnsi"/>
        </w:rPr>
        <w:t xml:space="preserve">thousand dollars plus one dollar </w:t>
      </w:r>
      <w:r w:rsidR="00FA57E4" w:rsidRPr="00A83452">
        <w:rPr>
          <w:rFonts w:cstheme="minorHAnsi"/>
        </w:rPr>
        <w:t>per gross square foot of floor area</w:t>
      </w:r>
      <w:r>
        <w:rPr>
          <w:rFonts w:cstheme="minorHAnsi"/>
        </w:rPr>
        <w:t xml:space="preserve"> per year</w:t>
      </w:r>
      <w:r w:rsidR="00FA57E4">
        <w:rPr>
          <w:rFonts w:cstheme="minorHAnsi"/>
        </w:rPr>
        <w:t>.</w:t>
      </w:r>
      <w:r>
        <w:rPr>
          <w:rFonts w:cstheme="minorHAnsi"/>
        </w:rPr>
        <w:t xml:space="preserve">  </w:t>
      </w:r>
      <w:r w:rsidR="00285928">
        <w:rPr>
          <w:rFonts w:cstheme="minorHAnsi"/>
        </w:rPr>
        <w:t>When paid within one hundred and eighty days (180) t</w:t>
      </w:r>
      <w:r>
        <w:rPr>
          <w:rFonts w:cstheme="minorHAnsi"/>
        </w:rPr>
        <w:t>he maximum penalty shall not exceed fines assessed over one year</w:t>
      </w:r>
      <w:r w:rsidR="00285928">
        <w:rPr>
          <w:rFonts w:cstheme="minorHAnsi"/>
        </w:rPr>
        <w:t>.</w:t>
      </w:r>
      <w:r>
        <w:rPr>
          <w:rFonts w:cstheme="minorHAnsi"/>
        </w:rPr>
        <w:t xml:space="preserve"> </w:t>
      </w:r>
      <w:r w:rsidR="00FA57E4">
        <w:rPr>
          <w:rFonts w:cstheme="minorHAnsi"/>
        </w:rPr>
        <w:t xml:space="preserve"> </w:t>
      </w:r>
      <w:r w:rsidR="006F3641" w:rsidRPr="00A83452">
        <w:rPr>
          <w:rFonts w:cstheme="minorHAnsi"/>
        </w:rPr>
        <w:t>.</w:t>
      </w:r>
      <w:r w:rsidR="00285928">
        <w:rPr>
          <w:rFonts w:cstheme="minorHAnsi"/>
        </w:rPr>
        <w:t xml:space="preserve">  </w:t>
      </w:r>
    </w:p>
    <w:p w:rsidR="00A83452" w:rsidRPr="00A83452" w:rsidRDefault="00A83452" w:rsidP="00C96A41">
      <w:pPr>
        <w:pStyle w:val="ListParagraph"/>
        <w:spacing w:before="120" w:after="120"/>
        <w:ind w:left="0" w:firstLine="0"/>
        <w:rPr>
          <w:rFonts w:asciiTheme="minorHAnsi" w:hAnsiTheme="minorHAnsi" w:cstheme="minorHAnsi"/>
          <w:color w:val="000000"/>
        </w:rPr>
      </w:pPr>
      <w:r w:rsidRPr="00A83452">
        <w:rPr>
          <w:rFonts w:asciiTheme="minorHAnsi" w:hAnsiTheme="minorHAnsi" w:cstheme="minorHAnsi"/>
          <w:color w:val="000000"/>
        </w:rPr>
        <w:t>A check or money order payable in U.S. funds to the Washington State Department of Commerce can be mailed to:</w:t>
      </w:r>
    </w:p>
    <w:p w:rsidR="00A83452" w:rsidRPr="00A83452" w:rsidRDefault="00A83452" w:rsidP="00C96A41">
      <w:pPr>
        <w:pStyle w:val="ListParagraph"/>
        <w:spacing w:before="120" w:after="120"/>
        <w:ind w:left="360" w:firstLine="0"/>
        <w:rPr>
          <w:rFonts w:asciiTheme="minorHAnsi" w:hAnsiTheme="minorHAnsi" w:cstheme="minorHAnsi"/>
          <w:color w:val="000000"/>
        </w:rPr>
      </w:pPr>
      <w:r w:rsidRPr="00A83452">
        <w:rPr>
          <w:rFonts w:asciiTheme="minorHAnsi" w:hAnsiTheme="minorHAnsi" w:cstheme="minorHAnsi"/>
          <w:color w:val="000000"/>
        </w:rPr>
        <w:t>Washington State Department of Commerce</w:t>
      </w:r>
    </w:p>
    <w:p w:rsidR="00A83452" w:rsidRPr="00A83452" w:rsidRDefault="00A83452" w:rsidP="00C96A41">
      <w:pPr>
        <w:spacing w:before="120" w:after="120" w:line="240" w:lineRule="auto"/>
        <w:ind w:firstLine="360"/>
        <w:rPr>
          <w:rFonts w:eastAsia="Times New Roman" w:cstheme="minorHAnsi"/>
          <w:color w:val="000000"/>
        </w:rPr>
      </w:pPr>
      <w:r w:rsidRPr="00A83452">
        <w:rPr>
          <w:rFonts w:eastAsia="Times New Roman" w:cstheme="minorHAnsi"/>
          <w:color w:val="000000"/>
        </w:rPr>
        <w:t xml:space="preserve">Re: Clean Buildings Initiative, Energy Division </w:t>
      </w:r>
    </w:p>
    <w:p w:rsidR="00A83452" w:rsidRPr="00A83452" w:rsidRDefault="00A83452" w:rsidP="00C96A41">
      <w:pPr>
        <w:spacing w:before="120" w:after="120" w:line="240" w:lineRule="auto"/>
        <w:ind w:firstLine="360"/>
        <w:rPr>
          <w:rFonts w:eastAsia="Times New Roman" w:cstheme="minorHAnsi"/>
          <w:color w:val="000000"/>
        </w:rPr>
      </w:pPr>
      <w:r w:rsidRPr="00A83452">
        <w:rPr>
          <w:rFonts w:eastAsia="Times New Roman" w:cstheme="minorHAnsi"/>
          <w:color w:val="000000"/>
        </w:rPr>
        <w:t>P.O. Box 42525</w:t>
      </w:r>
    </w:p>
    <w:p w:rsidR="00A83452" w:rsidRPr="00A83452" w:rsidRDefault="00A83452" w:rsidP="00C96A41">
      <w:pPr>
        <w:spacing w:before="120" w:after="120" w:line="240" w:lineRule="auto"/>
        <w:ind w:firstLine="360"/>
        <w:rPr>
          <w:rFonts w:eastAsia="Times New Roman" w:cstheme="minorHAnsi"/>
          <w:color w:val="000000"/>
        </w:rPr>
      </w:pPr>
      <w:r w:rsidRPr="00A83452">
        <w:rPr>
          <w:rFonts w:eastAsia="Times New Roman" w:cstheme="minorHAnsi"/>
          <w:color w:val="000000"/>
        </w:rPr>
        <w:t>Olympia, WA 98504-2525</w:t>
      </w:r>
    </w:p>
    <w:p w:rsidR="00A83452" w:rsidRPr="00A83452" w:rsidRDefault="00A83452" w:rsidP="00C96A41">
      <w:pPr>
        <w:spacing w:before="120" w:after="120" w:line="240" w:lineRule="auto"/>
        <w:ind w:left="720" w:firstLine="720"/>
        <w:rPr>
          <w:rFonts w:eastAsia="Times New Roman" w:cstheme="minorHAnsi"/>
          <w:color w:val="000000"/>
        </w:rPr>
      </w:pPr>
    </w:p>
    <w:p w:rsidR="00A83452" w:rsidRPr="00A13174" w:rsidRDefault="00310DFA" w:rsidP="00C96A41">
      <w:pPr>
        <w:spacing w:before="120" w:after="120" w:line="240" w:lineRule="auto"/>
        <w:rPr>
          <w:rFonts w:cstheme="minorHAnsi"/>
          <w:b/>
          <w:sz w:val="24"/>
        </w:rPr>
      </w:pPr>
      <w:r>
        <w:rPr>
          <w:rFonts w:cstheme="minorHAnsi"/>
          <w:b/>
          <w:sz w:val="24"/>
        </w:rPr>
        <w:t>Z 4.</w:t>
      </w:r>
      <w:r w:rsidR="0085767D">
        <w:rPr>
          <w:rFonts w:cstheme="minorHAnsi"/>
          <w:b/>
          <w:sz w:val="24"/>
        </w:rPr>
        <w:t>6</w:t>
      </w:r>
      <w:r w:rsidR="00A83452" w:rsidRPr="00A13174">
        <w:rPr>
          <w:rFonts w:cstheme="minorHAnsi"/>
          <w:b/>
          <w:sz w:val="24"/>
        </w:rPr>
        <w:t xml:space="preserve"> </w:t>
      </w:r>
      <w:r>
        <w:rPr>
          <w:rFonts w:cstheme="minorHAnsi"/>
          <w:b/>
          <w:sz w:val="24"/>
        </w:rPr>
        <w:t>Non Compliance</w:t>
      </w:r>
      <w:r w:rsidR="00A83452" w:rsidRPr="00A13174">
        <w:rPr>
          <w:rFonts w:cstheme="minorHAnsi"/>
          <w:b/>
          <w:sz w:val="24"/>
        </w:rPr>
        <w:t xml:space="preserve"> Mitigation Plan</w:t>
      </w:r>
      <w:r w:rsidR="00721EFD">
        <w:rPr>
          <w:rFonts w:cstheme="minorHAnsi"/>
          <w:b/>
          <w:sz w:val="24"/>
        </w:rPr>
        <w:t>.</w:t>
      </w:r>
    </w:p>
    <w:p w:rsidR="00820900" w:rsidRDefault="0085767D" w:rsidP="00C96A41">
      <w:pPr>
        <w:spacing w:before="120" w:after="120" w:line="240" w:lineRule="auto"/>
        <w:rPr>
          <w:rFonts w:cstheme="minorHAnsi"/>
        </w:rPr>
      </w:pPr>
      <w:r w:rsidRPr="00721EFD">
        <w:rPr>
          <w:rFonts w:cstheme="minorHAnsi"/>
          <w:b/>
        </w:rPr>
        <w:t>Z 4.6</w:t>
      </w:r>
      <w:r w:rsidR="00310DFA" w:rsidRPr="00721EFD">
        <w:rPr>
          <w:rFonts w:cstheme="minorHAnsi"/>
          <w:b/>
        </w:rPr>
        <w:t xml:space="preserve">.1. Request of </w:t>
      </w:r>
      <w:r w:rsidR="00721EFD" w:rsidRPr="00721EFD">
        <w:rPr>
          <w:rFonts w:cstheme="minorHAnsi"/>
          <w:b/>
        </w:rPr>
        <w:t>I</w:t>
      </w:r>
      <w:r w:rsidR="00310DFA" w:rsidRPr="00721EFD">
        <w:rPr>
          <w:rFonts w:cstheme="minorHAnsi"/>
          <w:b/>
        </w:rPr>
        <w:t xml:space="preserve">ntent to </w:t>
      </w:r>
      <w:r w:rsidR="00721EFD" w:rsidRPr="00721EFD">
        <w:rPr>
          <w:rFonts w:cstheme="minorHAnsi"/>
          <w:b/>
        </w:rPr>
        <w:t>M</w:t>
      </w:r>
      <w:r w:rsidR="00310DFA" w:rsidRPr="00721EFD">
        <w:rPr>
          <w:rFonts w:cstheme="minorHAnsi"/>
          <w:b/>
        </w:rPr>
        <w:t>itigate.</w:t>
      </w:r>
      <w:r w:rsidR="00310DFA">
        <w:rPr>
          <w:rFonts w:cstheme="minorHAnsi"/>
        </w:rPr>
        <w:t xml:space="preserve"> </w:t>
      </w:r>
      <w:r w:rsidR="00A83452" w:rsidRPr="00A83452">
        <w:rPr>
          <w:rFonts w:cstheme="minorHAnsi"/>
        </w:rPr>
        <w:t xml:space="preserve">Building owners </w:t>
      </w:r>
      <w:r w:rsidR="00515AFA">
        <w:rPr>
          <w:rFonts w:cstheme="minorHAnsi"/>
        </w:rPr>
        <w:t>shall</w:t>
      </w:r>
      <w:r w:rsidR="00515AFA" w:rsidRPr="00A83452">
        <w:rPr>
          <w:rFonts w:cstheme="minorHAnsi"/>
        </w:rPr>
        <w:t xml:space="preserve"> </w:t>
      </w:r>
      <w:r w:rsidR="00A83452" w:rsidRPr="00A83452">
        <w:rPr>
          <w:rFonts w:cstheme="minorHAnsi"/>
        </w:rPr>
        <w:t>submit a request of intent to mitigate non-compliance</w:t>
      </w:r>
      <w:r w:rsidR="003C5230">
        <w:rPr>
          <w:rFonts w:cstheme="minorHAnsi"/>
        </w:rPr>
        <w:t xml:space="preserve"> using the format provided by the AHJ</w:t>
      </w:r>
      <w:r w:rsidR="00E47E7C">
        <w:rPr>
          <w:rFonts w:cstheme="minorHAnsi"/>
        </w:rPr>
        <w:t xml:space="preserve"> after</w:t>
      </w:r>
      <w:r w:rsidR="00A83452" w:rsidRPr="00A83452">
        <w:rPr>
          <w:rFonts w:cstheme="minorHAnsi"/>
        </w:rPr>
        <w:t xml:space="preserve"> receipt of</w:t>
      </w:r>
      <w:r w:rsidR="007F0E7A">
        <w:rPr>
          <w:rFonts w:cstheme="minorHAnsi"/>
        </w:rPr>
        <w:t xml:space="preserve"> Z4.2</w:t>
      </w:r>
      <w:r w:rsidR="00A83452" w:rsidRPr="00A83452">
        <w:rPr>
          <w:rFonts w:cstheme="minorHAnsi"/>
        </w:rPr>
        <w:t xml:space="preserve"> </w:t>
      </w:r>
      <w:r w:rsidR="006C5829">
        <w:rPr>
          <w:rFonts w:cstheme="minorHAnsi"/>
        </w:rPr>
        <w:t>Notice of Non-Compliance or</w:t>
      </w:r>
      <w:r w:rsidR="006C5829" w:rsidRPr="00721EFD">
        <w:rPr>
          <w:rFonts w:cstheme="minorHAnsi"/>
        </w:rPr>
        <w:t xml:space="preserve"> </w:t>
      </w:r>
      <w:r w:rsidR="007F0E7A">
        <w:rPr>
          <w:rFonts w:cstheme="minorHAnsi"/>
        </w:rPr>
        <w:t xml:space="preserve">Z4.3 </w:t>
      </w:r>
      <w:r w:rsidR="006C5829">
        <w:rPr>
          <w:rFonts w:cstheme="minorHAnsi"/>
        </w:rPr>
        <w:t>Notice of Violation</w:t>
      </w:r>
      <w:r w:rsidR="00402CE2" w:rsidRPr="00721EFD">
        <w:rPr>
          <w:rFonts w:cstheme="minorHAnsi"/>
        </w:rPr>
        <w:t xml:space="preserve"> to avoid </w:t>
      </w:r>
      <w:r w:rsidR="00E47E7C">
        <w:rPr>
          <w:rFonts w:cstheme="minorHAnsi"/>
        </w:rPr>
        <w:t>continued</w:t>
      </w:r>
      <w:r w:rsidR="00402CE2" w:rsidRPr="00721EFD">
        <w:rPr>
          <w:rFonts w:cstheme="minorHAnsi"/>
        </w:rPr>
        <w:t xml:space="preserve"> notification</w:t>
      </w:r>
      <w:r w:rsidR="00A116B2" w:rsidRPr="00721EFD">
        <w:rPr>
          <w:rFonts w:cstheme="minorHAnsi"/>
        </w:rPr>
        <w:t xml:space="preserve"> or</w:t>
      </w:r>
      <w:r w:rsidR="00B211D9">
        <w:rPr>
          <w:rFonts w:cstheme="minorHAnsi"/>
        </w:rPr>
        <w:t xml:space="preserve"> </w:t>
      </w:r>
      <w:r w:rsidR="00A116B2" w:rsidRPr="00721EFD">
        <w:rPr>
          <w:rFonts w:cstheme="minorHAnsi"/>
        </w:rPr>
        <w:t xml:space="preserve">immediate enforcement of </w:t>
      </w:r>
      <w:r w:rsidR="006A7B6B" w:rsidRPr="00721EFD">
        <w:rPr>
          <w:rFonts w:cstheme="minorHAnsi"/>
        </w:rPr>
        <w:t xml:space="preserve">the maximum </w:t>
      </w:r>
      <w:r w:rsidR="00A116B2" w:rsidRPr="00721EFD">
        <w:rPr>
          <w:rFonts w:cstheme="minorHAnsi"/>
        </w:rPr>
        <w:t>Administrative Penalty in accordance with Z4.5.</w:t>
      </w:r>
    </w:p>
    <w:p w:rsidR="00721EFD" w:rsidRPr="00E47E7C" w:rsidRDefault="004A6F38" w:rsidP="00E47E7C">
      <w:pPr>
        <w:spacing w:before="120" w:after="120" w:line="240" w:lineRule="auto"/>
        <w:rPr>
          <w:rFonts w:cstheme="minorHAnsi"/>
        </w:rPr>
      </w:pPr>
      <w:r w:rsidRPr="00721EFD">
        <w:rPr>
          <w:rFonts w:cstheme="minorHAnsi"/>
          <w:b/>
        </w:rPr>
        <w:t>Z4.6.2 Mitigation Plan</w:t>
      </w:r>
      <w:r w:rsidR="00CF134E" w:rsidRPr="00721EFD">
        <w:rPr>
          <w:rFonts w:cstheme="minorHAnsi"/>
          <w:b/>
        </w:rPr>
        <w:t>.</w:t>
      </w:r>
      <w:r w:rsidR="00402CE2">
        <w:rPr>
          <w:rFonts w:cstheme="minorHAnsi"/>
        </w:rPr>
        <w:t xml:space="preserve"> </w:t>
      </w:r>
      <w:r w:rsidR="00CF134E">
        <w:rPr>
          <w:rFonts w:cstheme="minorHAnsi"/>
        </w:rPr>
        <w:t>The</w:t>
      </w:r>
      <w:r>
        <w:rPr>
          <w:rFonts w:cstheme="minorHAnsi"/>
        </w:rPr>
        <w:t xml:space="preserve"> miti</w:t>
      </w:r>
      <w:r w:rsidR="00CF134E">
        <w:rPr>
          <w:rFonts w:cstheme="minorHAnsi"/>
        </w:rPr>
        <w:t>gation plan shall be submitted t</w:t>
      </w:r>
      <w:r>
        <w:rPr>
          <w:rFonts w:cstheme="minorHAnsi"/>
        </w:rPr>
        <w:t>o the AHJ in the</w:t>
      </w:r>
      <w:r w:rsidR="00484127">
        <w:rPr>
          <w:rFonts w:cstheme="minorHAnsi"/>
        </w:rPr>
        <w:t xml:space="preserve"> format provided by the AHJ</w:t>
      </w:r>
      <w:r w:rsidR="00A83452" w:rsidRPr="00A83452">
        <w:rPr>
          <w:rFonts w:cstheme="minorHAnsi"/>
        </w:rPr>
        <w:t xml:space="preserve"> </w:t>
      </w:r>
      <w:r w:rsidR="00484127">
        <w:rPr>
          <w:rFonts w:cstheme="minorHAnsi"/>
        </w:rPr>
        <w:t>and is subject to</w:t>
      </w:r>
      <w:r w:rsidR="00A83452" w:rsidRPr="00A83452">
        <w:rPr>
          <w:rFonts w:cstheme="minorHAnsi"/>
        </w:rPr>
        <w:t xml:space="preserve"> </w:t>
      </w:r>
      <w:r>
        <w:rPr>
          <w:rFonts w:cstheme="minorHAnsi"/>
        </w:rPr>
        <w:t xml:space="preserve">administrative </w:t>
      </w:r>
      <w:r w:rsidR="00A83452" w:rsidRPr="00A83452">
        <w:rPr>
          <w:rFonts w:cstheme="minorHAnsi"/>
        </w:rPr>
        <w:t>penalt</w:t>
      </w:r>
      <w:r w:rsidR="00484127">
        <w:rPr>
          <w:rFonts w:cstheme="minorHAnsi"/>
        </w:rPr>
        <w:t>ies</w:t>
      </w:r>
      <w:r>
        <w:rPr>
          <w:rFonts w:cstheme="minorHAnsi"/>
        </w:rPr>
        <w:t xml:space="preserve"> in accordance with Z4.5</w:t>
      </w:r>
      <w:r w:rsidR="00A83452" w:rsidRPr="00A83452">
        <w:rPr>
          <w:rFonts w:cstheme="minorHAnsi"/>
        </w:rPr>
        <w:t xml:space="preserve">.  </w:t>
      </w:r>
    </w:p>
    <w:p w:rsidR="009F0C7A" w:rsidRDefault="00820900" w:rsidP="003C5230">
      <w:pPr>
        <w:contextualSpacing/>
        <w:rPr>
          <w:rFonts w:cstheme="minorHAnsi"/>
        </w:rPr>
      </w:pPr>
      <w:r w:rsidRPr="00E43A93">
        <w:rPr>
          <w:rFonts w:cstheme="minorHAnsi"/>
          <w:b/>
        </w:rPr>
        <w:t>Z4.6.2.1 Preliminary Mitigation Plan.</w:t>
      </w:r>
      <w:r>
        <w:rPr>
          <w:rFonts w:cstheme="minorHAnsi"/>
        </w:rPr>
        <w:t xml:space="preserve"> The building ow</w:t>
      </w:r>
      <w:r w:rsidR="009F0C7A">
        <w:rPr>
          <w:rFonts w:cstheme="minorHAnsi"/>
        </w:rPr>
        <w:t>ner shall submit one of the following as applicable to the building</w:t>
      </w:r>
      <w:r w:rsidR="00B05E6C">
        <w:rPr>
          <w:rFonts w:cstheme="minorHAnsi"/>
        </w:rPr>
        <w:t xml:space="preserve">; </w:t>
      </w:r>
    </w:p>
    <w:p w:rsidR="00B05E6C" w:rsidRDefault="00B05E6C" w:rsidP="007F0E7A">
      <w:pPr>
        <w:contextualSpacing/>
        <w:rPr>
          <w:rFonts w:cstheme="minorHAnsi"/>
        </w:rPr>
      </w:pPr>
      <w:r>
        <w:rPr>
          <w:rFonts w:cstheme="minorHAnsi"/>
        </w:rPr>
        <w:t xml:space="preserve">(a) </w:t>
      </w:r>
      <w:r w:rsidR="009F0C7A">
        <w:rPr>
          <w:rFonts w:cstheme="minorHAnsi"/>
        </w:rPr>
        <w:t>When demonstrating compliance with Section Z2.2, forms A, B and C.</w:t>
      </w:r>
    </w:p>
    <w:p w:rsidR="00E43A93" w:rsidRDefault="00B05E6C" w:rsidP="007F0E7A">
      <w:pPr>
        <w:rPr>
          <w:rFonts w:ascii="Calibri" w:hAnsi="Calibri"/>
          <w:color w:val="000000"/>
        </w:rPr>
      </w:pPr>
      <w:r>
        <w:rPr>
          <w:rFonts w:cstheme="minorHAnsi"/>
        </w:rPr>
        <w:t xml:space="preserve">(b) </w:t>
      </w:r>
      <w:r w:rsidR="009F0C7A" w:rsidRPr="00B05E6C">
        <w:rPr>
          <w:rFonts w:cstheme="minorHAnsi"/>
        </w:rPr>
        <w:t>When demonstrating compliance with Sections Z2.4 or Z2.5, forms A,B and C and a plan for audits, economic evaluation and completion as docume</w:t>
      </w:r>
      <w:r w:rsidR="000123A4">
        <w:rPr>
          <w:rFonts w:cstheme="minorHAnsi"/>
        </w:rPr>
        <w:t>n</w:t>
      </w:r>
      <w:r w:rsidR="009F0C7A" w:rsidRPr="00B05E6C">
        <w:rPr>
          <w:rFonts w:cstheme="minorHAnsi"/>
        </w:rPr>
        <w:t xml:space="preserve">ted using </w:t>
      </w:r>
      <w:r w:rsidRPr="00B05E6C">
        <w:rPr>
          <w:rFonts w:ascii="Calibri" w:hAnsi="Calibri"/>
          <w:color w:val="000000"/>
        </w:rPr>
        <w:t xml:space="preserve">Energy Audit Report, Level 2 Energy Audit, Level 3, Economic </w:t>
      </w:r>
      <w:r w:rsidR="00E47E7C">
        <w:rPr>
          <w:rFonts w:ascii="Calibri" w:hAnsi="Calibri"/>
          <w:color w:val="000000"/>
        </w:rPr>
        <w:t xml:space="preserve">Evaluation of EEMs and </w:t>
      </w:r>
      <w:r w:rsidRPr="00B05E6C">
        <w:rPr>
          <w:rFonts w:ascii="Calibri" w:hAnsi="Calibri"/>
          <w:color w:val="000000"/>
        </w:rPr>
        <w:t>Continued Reporting Until Completion as specified in Section 2.6.</w:t>
      </w:r>
    </w:p>
    <w:p w:rsidR="00B05E6C" w:rsidRPr="00E47E7C" w:rsidRDefault="00B05E6C" w:rsidP="00E47E7C">
      <w:pPr>
        <w:rPr>
          <w:rFonts w:ascii="Calibri" w:hAnsi="Calibri"/>
          <w:color w:val="000000"/>
        </w:rPr>
      </w:pPr>
      <w:r w:rsidRPr="00E43A93">
        <w:rPr>
          <w:rFonts w:cstheme="minorHAnsi"/>
          <w:b/>
        </w:rPr>
        <w:t>Z4.6.2.2 Mitigation Completion.</w:t>
      </w:r>
      <w:r>
        <w:rPr>
          <w:rFonts w:cstheme="minorHAnsi"/>
        </w:rPr>
        <w:t xml:space="preserve"> To demonstrate completion, the building owner shall complete all of the requirements of this standard and submit documentation as required by section Z2.4 or </w:t>
      </w:r>
      <w:r w:rsidR="006A7B6B">
        <w:rPr>
          <w:rFonts w:cstheme="minorHAnsi"/>
        </w:rPr>
        <w:t>Z</w:t>
      </w:r>
      <w:r>
        <w:rPr>
          <w:rFonts w:cstheme="minorHAnsi"/>
        </w:rPr>
        <w:t xml:space="preserve">2.5. Upon completion the AHJ shall issue the final penalty assessed as specified by Z 4.5. </w:t>
      </w:r>
    </w:p>
    <w:p w:rsidR="00A83452" w:rsidRPr="00A13174" w:rsidRDefault="00A83452" w:rsidP="00C96A41">
      <w:pPr>
        <w:tabs>
          <w:tab w:val="left" w:pos="1050"/>
        </w:tabs>
        <w:spacing w:before="120" w:after="120" w:line="240" w:lineRule="auto"/>
        <w:rPr>
          <w:rFonts w:cstheme="minorHAnsi"/>
          <w:b/>
          <w:sz w:val="24"/>
        </w:rPr>
      </w:pPr>
      <w:r w:rsidRPr="00A13174">
        <w:rPr>
          <w:rFonts w:cstheme="minorHAnsi"/>
          <w:b/>
          <w:sz w:val="24"/>
        </w:rPr>
        <w:t>Z</w:t>
      </w:r>
      <w:r w:rsidR="002B7433">
        <w:rPr>
          <w:rFonts w:cstheme="minorHAnsi"/>
          <w:b/>
          <w:sz w:val="24"/>
        </w:rPr>
        <w:t>4.7</w:t>
      </w:r>
      <w:r w:rsidRPr="00A13174">
        <w:rPr>
          <w:rFonts w:cstheme="minorHAnsi"/>
          <w:b/>
          <w:sz w:val="24"/>
        </w:rPr>
        <w:t xml:space="preserve">, </w:t>
      </w:r>
      <w:r w:rsidR="005E5D37">
        <w:rPr>
          <w:rFonts w:cstheme="minorHAnsi"/>
          <w:b/>
          <w:sz w:val="24"/>
        </w:rPr>
        <w:t>Administrative</w:t>
      </w:r>
      <w:r w:rsidRPr="00A13174">
        <w:rPr>
          <w:rFonts w:cstheme="minorHAnsi"/>
          <w:b/>
          <w:sz w:val="24"/>
        </w:rPr>
        <w:t xml:space="preserve"> Appeals</w:t>
      </w:r>
    </w:p>
    <w:p w:rsidR="00A83452" w:rsidRPr="00A83452" w:rsidRDefault="00A83452" w:rsidP="00C96A41">
      <w:pPr>
        <w:tabs>
          <w:tab w:val="left" w:pos="1050"/>
        </w:tabs>
        <w:spacing w:before="120" w:after="120" w:line="240" w:lineRule="auto"/>
        <w:rPr>
          <w:rFonts w:cstheme="minorHAnsi"/>
        </w:rPr>
      </w:pPr>
      <w:r w:rsidRPr="00A83452">
        <w:rPr>
          <w:rFonts w:cstheme="minorHAnsi"/>
        </w:rPr>
        <w:t>Notice of Penalty Enforcement may be appealed. All appeals will be reviewed by the AHJ.</w:t>
      </w:r>
    </w:p>
    <w:p w:rsidR="00A83452" w:rsidRPr="00A83452" w:rsidRDefault="00A83452" w:rsidP="00C96A41">
      <w:pPr>
        <w:tabs>
          <w:tab w:val="left" w:pos="1050"/>
        </w:tabs>
        <w:spacing w:before="120" w:after="120" w:line="240" w:lineRule="auto"/>
        <w:rPr>
          <w:rFonts w:cstheme="minorHAnsi"/>
        </w:rPr>
      </w:pPr>
      <w:r w:rsidRPr="00A83452">
        <w:rPr>
          <w:rFonts w:cstheme="minorHAnsi"/>
        </w:rPr>
        <w:t xml:space="preserve">Administrative review appeals shall be submitted </w:t>
      </w:r>
      <w:r w:rsidR="00E47E7C">
        <w:rPr>
          <w:rFonts w:cstheme="minorHAnsi"/>
        </w:rPr>
        <w:t xml:space="preserve">in a form specified by </w:t>
      </w:r>
      <w:r w:rsidRPr="00A83452">
        <w:rPr>
          <w:rFonts w:cstheme="minorHAnsi"/>
        </w:rPr>
        <w:t xml:space="preserve">AHJ within sixty (60) calendar days from the </w:t>
      </w:r>
      <w:r w:rsidRPr="00B05E6C">
        <w:t xml:space="preserve">date </w:t>
      </w:r>
      <w:r w:rsidR="00B05E6C" w:rsidRPr="007F0E7A">
        <w:t>Z4.2. Notice of Non-Compliance (First Notice).</w:t>
      </w:r>
      <w:r w:rsidR="00B05E6C" w:rsidRPr="007F0E7A">
        <w:rPr>
          <w:rFonts w:cstheme="minorHAnsi"/>
          <w:b/>
          <w:sz w:val="24"/>
          <w:szCs w:val="24"/>
        </w:rPr>
        <w:t xml:space="preserve"> </w:t>
      </w:r>
    </w:p>
    <w:p w:rsidR="00A83452" w:rsidRPr="00A83452" w:rsidRDefault="00A83452" w:rsidP="00C96A41">
      <w:pPr>
        <w:tabs>
          <w:tab w:val="left" w:pos="1050"/>
        </w:tabs>
        <w:spacing w:before="120" w:after="120" w:line="240" w:lineRule="auto"/>
        <w:rPr>
          <w:rFonts w:cstheme="minorHAnsi"/>
        </w:rPr>
      </w:pPr>
      <w:r w:rsidRPr="00A83452">
        <w:rPr>
          <w:rFonts w:cstheme="minorHAnsi"/>
        </w:rPr>
        <w:t>The following should be included when appealing a Notice of Penalty Enforcement:</w:t>
      </w:r>
    </w:p>
    <w:p w:rsidR="00A83452" w:rsidRPr="00A83452" w:rsidRDefault="00A83452" w:rsidP="00C96A41">
      <w:pPr>
        <w:tabs>
          <w:tab w:val="left" w:pos="1050"/>
        </w:tabs>
        <w:spacing w:before="120" w:after="120" w:line="240" w:lineRule="auto"/>
        <w:rPr>
          <w:rFonts w:cstheme="minorHAnsi"/>
        </w:rPr>
      </w:pPr>
      <w:r w:rsidRPr="00A83452">
        <w:rPr>
          <w:rFonts w:cstheme="minorHAnsi"/>
        </w:rPr>
        <w:t>(</w:t>
      </w:r>
      <w:proofErr w:type="gramStart"/>
      <w:r w:rsidRPr="00A83452">
        <w:rPr>
          <w:rFonts w:cstheme="minorHAnsi"/>
        </w:rPr>
        <w:t>a</w:t>
      </w:r>
      <w:proofErr w:type="gramEnd"/>
      <w:r w:rsidRPr="00A83452">
        <w:rPr>
          <w:rFonts w:cstheme="minorHAnsi"/>
        </w:rPr>
        <w:t>) Washington State Building ID</w:t>
      </w:r>
    </w:p>
    <w:p w:rsidR="00A83452" w:rsidRPr="00A83452" w:rsidRDefault="00A83452" w:rsidP="00C96A41">
      <w:pPr>
        <w:tabs>
          <w:tab w:val="left" w:pos="1050"/>
        </w:tabs>
        <w:spacing w:before="120" w:after="120" w:line="240" w:lineRule="auto"/>
        <w:rPr>
          <w:rFonts w:cstheme="minorHAnsi"/>
        </w:rPr>
      </w:pPr>
      <w:r w:rsidRPr="00A83452">
        <w:rPr>
          <w:rFonts w:cstheme="minorHAnsi"/>
        </w:rPr>
        <w:t>(b) Submit Annex Z Forms A, B and C</w:t>
      </w:r>
    </w:p>
    <w:p w:rsidR="00A83452" w:rsidRPr="00A83452" w:rsidRDefault="00A83452" w:rsidP="00C96A41">
      <w:pPr>
        <w:tabs>
          <w:tab w:val="left" w:pos="1050"/>
        </w:tabs>
        <w:spacing w:before="120" w:after="120" w:line="240" w:lineRule="auto"/>
        <w:rPr>
          <w:rFonts w:cstheme="minorHAnsi"/>
        </w:rPr>
      </w:pPr>
      <w:r w:rsidRPr="00A83452">
        <w:rPr>
          <w:rFonts w:cstheme="minorHAnsi"/>
        </w:rPr>
        <w:t>Following the AHJ Administrative Review, all denied appeals have the right to appeal to the Administrative Law Judge (ALJ) according to WAC 388-02-0010. Appellants must request in a hearing to the Office of Administrative hearings (OAH), which is a state agency.</w:t>
      </w:r>
    </w:p>
    <w:p w:rsidR="00A83452" w:rsidRPr="00A83452" w:rsidRDefault="00A83452" w:rsidP="00C96A41">
      <w:pPr>
        <w:tabs>
          <w:tab w:val="left" w:pos="1050"/>
        </w:tabs>
        <w:spacing w:before="120" w:after="120" w:line="240" w:lineRule="auto"/>
        <w:rPr>
          <w:rFonts w:cstheme="minorHAnsi"/>
        </w:rPr>
      </w:pPr>
      <w:r w:rsidRPr="00A83452">
        <w:rPr>
          <w:rFonts w:cstheme="minorHAnsi"/>
        </w:rPr>
        <w:t>A hearing means a proceeding before an ALJ or review judge that gives a party an opportunity to be heard in disputes about department programs. *Chapter 34.05 RCW, the Administrative Procedure Act, Title 388 of the Washington Administrative Code (WAC), chapter 10-08 WAC.</w:t>
      </w:r>
    </w:p>
    <w:p w:rsidR="003B7D71" w:rsidRPr="00342A1D" w:rsidRDefault="003B7D71" w:rsidP="00C96A41">
      <w:pPr>
        <w:spacing w:before="120" w:after="120" w:line="240" w:lineRule="auto"/>
      </w:pPr>
    </w:p>
    <w:p w:rsidR="0069349D" w:rsidRDefault="0069349D" w:rsidP="00C96A41">
      <w:pPr>
        <w:spacing w:before="120" w:after="120" w:line="240" w:lineRule="auto"/>
      </w:pPr>
    </w:p>
    <w:sectPr w:rsidR="00693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A72"/>
    <w:multiLevelType w:val="hybridMultilevel"/>
    <w:tmpl w:val="59F4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954A9"/>
    <w:multiLevelType w:val="hybridMultilevel"/>
    <w:tmpl w:val="20B8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862DF"/>
    <w:multiLevelType w:val="multilevel"/>
    <w:tmpl w:val="87C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E7720"/>
    <w:multiLevelType w:val="hybridMultilevel"/>
    <w:tmpl w:val="1A4E9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42A52"/>
    <w:multiLevelType w:val="hybridMultilevel"/>
    <w:tmpl w:val="A708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BF499C"/>
    <w:multiLevelType w:val="hybridMultilevel"/>
    <w:tmpl w:val="9CEC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9D"/>
    <w:rsid w:val="000117B5"/>
    <w:rsid w:val="000123A4"/>
    <w:rsid w:val="000743CB"/>
    <w:rsid w:val="000D2247"/>
    <w:rsid w:val="00117C3C"/>
    <w:rsid w:val="001307FA"/>
    <w:rsid w:val="001A76BD"/>
    <w:rsid w:val="00285928"/>
    <w:rsid w:val="002A1450"/>
    <w:rsid w:val="002B7433"/>
    <w:rsid w:val="002E7E6C"/>
    <w:rsid w:val="003032DF"/>
    <w:rsid w:val="00310DFA"/>
    <w:rsid w:val="003210BF"/>
    <w:rsid w:val="0035376E"/>
    <w:rsid w:val="00375566"/>
    <w:rsid w:val="003B7D71"/>
    <w:rsid w:val="003C5230"/>
    <w:rsid w:val="00402CE2"/>
    <w:rsid w:val="00465105"/>
    <w:rsid w:val="00484127"/>
    <w:rsid w:val="004A6F38"/>
    <w:rsid w:val="004B4711"/>
    <w:rsid w:val="00515AFA"/>
    <w:rsid w:val="005207E2"/>
    <w:rsid w:val="005846B2"/>
    <w:rsid w:val="005E5D37"/>
    <w:rsid w:val="0069349D"/>
    <w:rsid w:val="006A7B6B"/>
    <w:rsid w:val="006A7E6E"/>
    <w:rsid w:val="006C5829"/>
    <w:rsid w:val="006F3641"/>
    <w:rsid w:val="00721EFD"/>
    <w:rsid w:val="00776F61"/>
    <w:rsid w:val="007F0E7A"/>
    <w:rsid w:val="00820900"/>
    <w:rsid w:val="00836F66"/>
    <w:rsid w:val="0085767D"/>
    <w:rsid w:val="0088389C"/>
    <w:rsid w:val="008867B1"/>
    <w:rsid w:val="00893C2F"/>
    <w:rsid w:val="008A18ED"/>
    <w:rsid w:val="008B1830"/>
    <w:rsid w:val="008E22DF"/>
    <w:rsid w:val="00917D70"/>
    <w:rsid w:val="009968E6"/>
    <w:rsid w:val="009F0C7A"/>
    <w:rsid w:val="00A02A79"/>
    <w:rsid w:val="00A07DDD"/>
    <w:rsid w:val="00A116B2"/>
    <w:rsid w:val="00A13174"/>
    <w:rsid w:val="00A20A9D"/>
    <w:rsid w:val="00A30F75"/>
    <w:rsid w:val="00A83452"/>
    <w:rsid w:val="00AF1165"/>
    <w:rsid w:val="00B05E6C"/>
    <w:rsid w:val="00B13586"/>
    <w:rsid w:val="00B211D9"/>
    <w:rsid w:val="00BB0FCC"/>
    <w:rsid w:val="00BC094B"/>
    <w:rsid w:val="00BD4FC1"/>
    <w:rsid w:val="00C96A41"/>
    <w:rsid w:val="00CB54A6"/>
    <w:rsid w:val="00CF134E"/>
    <w:rsid w:val="00D207F7"/>
    <w:rsid w:val="00D271FC"/>
    <w:rsid w:val="00D45BC9"/>
    <w:rsid w:val="00D7345A"/>
    <w:rsid w:val="00E43A93"/>
    <w:rsid w:val="00E47E7C"/>
    <w:rsid w:val="00E67F85"/>
    <w:rsid w:val="00F02D10"/>
    <w:rsid w:val="00F5160E"/>
    <w:rsid w:val="00F86D67"/>
    <w:rsid w:val="00F91B0F"/>
    <w:rsid w:val="00F97F80"/>
    <w:rsid w:val="00FA57E4"/>
    <w:rsid w:val="00FB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DC62"/>
  <w15:chartTrackingRefBased/>
  <w15:docId w15:val="{6A3A6224-7CE9-433E-A2A0-FABF9F1C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9D"/>
  </w:style>
  <w:style w:type="paragraph" w:styleId="Heading1">
    <w:name w:val="heading 1"/>
    <w:basedOn w:val="Normal"/>
    <w:next w:val="Normal"/>
    <w:link w:val="Heading1Char"/>
    <w:uiPriority w:val="9"/>
    <w:qFormat/>
    <w:rsid w:val="00693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49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9349D"/>
    <w:pPr>
      <w:widowControl w:val="0"/>
      <w:autoSpaceDE w:val="0"/>
      <w:autoSpaceDN w:val="0"/>
      <w:spacing w:before="50" w:after="0" w:line="240" w:lineRule="auto"/>
      <w:ind w:left="966" w:firstLine="144"/>
      <w:jc w:val="both"/>
    </w:pPr>
    <w:rPr>
      <w:rFonts w:ascii="Times New Roman" w:eastAsia="Times New Roman" w:hAnsi="Times New Roman" w:cs="Times New Roman"/>
      <w:lang w:bidi="en-US"/>
    </w:rPr>
  </w:style>
  <w:style w:type="character" w:styleId="Hyperlink">
    <w:name w:val="Hyperlink"/>
    <w:basedOn w:val="DefaultParagraphFont"/>
    <w:uiPriority w:val="99"/>
    <w:unhideWhenUsed/>
    <w:rsid w:val="0069349D"/>
    <w:rPr>
      <w:color w:val="0000FF"/>
      <w:u w:val="single"/>
    </w:rPr>
  </w:style>
  <w:style w:type="character" w:styleId="CommentReference">
    <w:name w:val="annotation reference"/>
    <w:basedOn w:val="DefaultParagraphFont"/>
    <w:uiPriority w:val="99"/>
    <w:semiHidden/>
    <w:unhideWhenUsed/>
    <w:rsid w:val="00A83452"/>
    <w:rPr>
      <w:sz w:val="16"/>
      <w:szCs w:val="16"/>
    </w:rPr>
  </w:style>
  <w:style w:type="paragraph" w:styleId="CommentText">
    <w:name w:val="annotation text"/>
    <w:basedOn w:val="Normal"/>
    <w:link w:val="CommentTextChar"/>
    <w:uiPriority w:val="99"/>
    <w:unhideWhenUsed/>
    <w:rsid w:val="00A83452"/>
    <w:pPr>
      <w:spacing w:line="240" w:lineRule="auto"/>
    </w:pPr>
    <w:rPr>
      <w:sz w:val="20"/>
      <w:szCs w:val="20"/>
    </w:rPr>
  </w:style>
  <w:style w:type="character" w:customStyle="1" w:styleId="CommentTextChar">
    <w:name w:val="Comment Text Char"/>
    <w:basedOn w:val="DefaultParagraphFont"/>
    <w:link w:val="CommentText"/>
    <w:uiPriority w:val="99"/>
    <w:rsid w:val="00A83452"/>
    <w:rPr>
      <w:sz w:val="20"/>
      <w:szCs w:val="20"/>
    </w:rPr>
  </w:style>
  <w:style w:type="paragraph" w:styleId="BalloonText">
    <w:name w:val="Balloon Text"/>
    <w:basedOn w:val="Normal"/>
    <w:link w:val="BalloonTextChar"/>
    <w:uiPriority w:val="99"/>
    <w:semiHidden/>
    <w:unhideWhenUsed/>
    <w:rsid w:val="00A83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4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7C3C"/>
    <w:rPr>
      <w:b/>
      <w:bCs/>
    </w:rPr>
  </w:style>
  <w:style w:type="character" w:customStyle="1" w:styleId="CommentSubjectChar">
    <w:name w:val="Comment Subject Char"/>
    <w:basedOn w:val="CommentTextChar"/>
    <w:link w:val="CommentSubject"/>
    <w:uiPriority w:val="99"/>
    <w:semiHidden/>
    <w:rsid w:val="00117C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earches/27415471" TargetMode="External"/><Relationship Id="rId13" Type="http://schemas.openxmlformats.org/officeDocument/2006/relationships/hyperlink" Target="https://www.commerce.wa.gov/wp-content/uploads/2020/05/Section-789-Comment-Draft-1.docx" TargetMode="External"/><Relationship Id="rId3" Type="http://schemas.openxmlformats.org/officeDocument/2006/relationships/settings" Target="settings.xml"/><Relationship Id="rId7" Type="http://schemas.openxmlformats.org/officeDocument/2006/relationships/hyperlink" Target="https://www.ashrae.org/technical-resources/standards-and-guidelines/read-only-versions-of-ashrae-standards" TargetMode="External"/><Relationship Id="rId12" Type="http://schemas.openxmlformats.org/officeDocument/2006/relationships/hyperlink" Target="https://www.commerce.wa.gov/wp-content/uploads/2020/05/Section-6-discussion-draft.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erce.wa.gov/buildings" TargetMode="External"/><Relationship Id="rId11" Type="http://schemas.openxmlformats.org/officeDocument/2006/relationships/hyperlink" Target="https://www.commerce.wa.gov/wp-content/uploads/2020/05/Section-5-discussion-draft.docx" TargetMode="External"/><Relationship Id="rId5" Type="http://schemas.openxmlformats.org/officeDocument/2006/relationships/hyperlink" Target="mailto:buildings@commerce.wa.gov" TargetMode="External"/><Relationship Id="rId15" Type="http://schemas.openxmlformats.org/officeDocument/2006/relationships/hyperlink" Target="https://www.energystar.gov/buildings/facility-owners-and-managers/existing-buildings/use-portfolio-manager" TargetMode="External"/><Relationship Id="rId10" Type="http://schemas.openxmlformats.org/officeDocument/2006/relationships/hyperlink" Target="https://www.commerce.wa.gov/wp-content/uploads/2020/05/Discussion-Draft-Sec-1_2_3.docx" TargetMode="External"/><Relationship Id="rId4" Type="http://schemas.openxmlformats.org/officeDocument/2006/relationships/webSettings" Target="webSettings.xml"/><Relationship Id="rId9" Type="http://schemas.openxmlformats.org/officeDocument/2006/relationships/hyperlink" Target="https://www.techstreet.com/ashrae/standards/ashrae-211-2018?product_id=2016437" TargetMode="External"/><Relationship Id="rId14" Type="http://schemas.openxmlformats.org/officeDocument/2006/relationships/hyperlink" Target="https://www.commerce.wa.gov/wp-content/uploads/2020/05/Straw-man-Normative-Annex-X-Investment-Criter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Bergin, Annalyn (COM)</dc:creator>
  <cp:keywords/>
  <dc:description/>
  <cp:lastModifiedBy>Howard, Luke (COM)</cp:lastModifiedBy>
  <cp:revision>2</cp:revision>
  <dcterms:created xsi:type="dcterms:W3CDTF">2020-06-09T22:55:00Z</dcterms:created>
  <dcterms:modified xsi:type="dcterms:W3CDTF">2020-06-09T22:55:00Z</dcterms:modified>
</cp:coreProperties>
</file>