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62835" w14:textId="77777777" w:rsidR="00F91394" w:rsidRDefault="00F91394" w:rsidP="001C1889">
      <w:pPr>
        <w:pStyle w:val="Heading3"/>
        <w:ind w:left="-5" w:right="0"/>
      </w:pPr>
      <w:bookmarkStart w:id="0" w:name="_Toc894295"/>
      <w:bookmarkStart w:id="1" w:name="_Toc894297"/>
      <w:bookmarkStart w:id="2" w:name="_GoBack"/>
      <w:bookmarkEnd w:id="2"/>
    </w:p>
    <w:p w14:paraId="7F7175A2" w14:textId="77777777" w:rsidR="00F91394" w:rsidRDefault="00F91394" w:rsidP="001C1889">
      <w:pPr>
        <w:pStyle w:val="Heading3"/>
        <w:ind w:left="-5" w:right="0"/>
      </w:pPr>
    </w:p>
    <w:p w14:paraId="65DB0F67" w14:textId="77777777" w:rsidR="00771897" w:rsidRDefault="00771897" w:rsidP="00771897">
      <w:pPr>
        <w:pStyle w:val="Heading1"/>
      </w:pPr>
      <w:r>
        <w:t>Background on Rules Development for HB 1257</w:t>
      </w:r>
    </w:p>
    <w:p w14:paraId="1FEAD7D5" w14:textId="77777777" w:rsidR="00771897" w:rsidRDefault="00771897" w:rsidP="00771897"/>
    <w:p w14:paraId="0F66D20F" w14:textId="77777777" w:rsidR="00771897" w:rsidRDefault="00771897" w:rsidP="00771897">
      <w:r>
        <w:t xml:space="preserve">The Department of Commerce is authorized by HB 1257 to develop rules for the adoption of the </w:t>
      </w:r>
      <w:r w:rsidRPr="002D37ED">
        <w:t>Washington State Energy Performance Standard for Commercial Buildings</w:t>
      </w:r>
      <w:r>
        <w:t xml:space="preserve">. HB 1257 requires Commerce to use </w:t>
      </w:r>
      <w:r w:rsidRPr="002D37ED">
        <w:t>ANSI/ASHRAE/IES standard 100-2018, Energy Efficiency in Existing Buildings</w:t>
      </w:r>
      <w:r>
        <w:t xml:space="preserve"> (standard) as the basis for these rules.  Rules will be implemented that adopt the standard by reference, with amendments. </w:t>
      </w:r>
    </w:p>
    <w:p w14:paraId="23867836" w14:textId="77777777" w:rsidR="00A448A4" w:rsidRDefault="00A448A4" w:rsidP="00771897"/>
    <w:p w14:paraId="76954E75" w14:textId="7E371DFD" w:rsidR="00771897" w:rsidRPr="007D3173" w:rsidRDefault="00771897" w:rsidP="00771897">
      <w:r>
        <w:t xml:space="preserve">Amendments to the standard will be made to make the standard consistent with the features prescribed in HB 1257.  The standard will also be modified to clarify administrative procedures. Additional rules </w:t>
      </w:r>
      <w:r w:rsidRPr="007D3173">
        <w:t xml:space="preserve">may be required outside of this standard as well. </w:t>
      </w:r>
    </w:p>
    <w:p w14:paraId="3BBB5814" w14:textId="77777777" w:rsidR="00A448A4" w:rsidRDefault="00A448A4" w:rsidP="00771897"/>
    <w:p w14:paraId="58EFC382" w14:textId="78BE687C" w:rsidR="00771897" w:rsidRPr="007D3173" w:rsidRDefault="00771897" w:rsidP="00771897">
      <w:r w:rsidRPr="007D3173">
        <w:t xml:space="preserve">The following draft rule has been developed by Commerce staff.  Then modifications to the various sections of the standard are made to provide consistency between the rule and HB 1257.  </w:t>
      </w:r>
    </w:p>
    <w:p w14:paraId="29943969" w14:textId="77777777" w:rsidR="00A448A4" w:rsidRDefault="00A448A4" w:rsidP="00771897"/>
    <w:p w14:paraId="012C2660" w14:textId="1D2EDAFF" w:rsidR="00771897" w:rsidRPr="007D3173" w:rsidRDefault="00771897" w:rsidP="00771897">
      <w:r w:rsidRPr="007D3173">
        <w:t xml:space="preserve">Interested parties are encouraged to review standard 100 and modifications made by Commerce staff. Input can be provided on any element that will align the standard with the legislation or existing state laws, clarify application, or improve administrative procedures. </w:t>
      </w:r>
    </w:p>
    <w:p w14:paraId="4C0EC3E4" w14:textId="77777777" w:rsidR="00A448A4" w:rsidRDefault="00A448A4" w:rsidP="00771897"/>
    <w:p w14:paraId="15C8E3AE" w14:textId="366B43A4" w:rsidR="00771897" w:rsidRDefault="00771897" w:rsidP="00771897">
      <w:r w:rsidRPr="007D3173">
        <w:t>Stakeholders are invited to participate in workshops scheduled to review specific sections of this work.  Commerce request that written post workshop comments relating to sections covered at each workshop be received within</w:t>
      </w:r>
      <w:r w:rsidRPr="007D3173">
        <w:rPr>
          <w:color w:val="FF0000"/>
        </w:rPr>
        <w:t xml:space="preserve"> </w:t>
      </w:r>
      <w:r w:rsidRPr="005415E0">
        <w:rPr>
          <w:color w:val="000000" w:themeColor="text1"/>
        </w:rPr>
        <w:t xml:space="preserve">by the </w:t>
      </w:r>
      <w:r w:rsidRPr="007D3173">
        <w:t xml:space="preserve">scheduled time period </w:t>
      </w:r>
      <w:r>
        <w:t xml:space="preserve">posted on the Commerce Clean Buildings Web site. </w:t>
      </w:r>
      <w:r w:rsidRPr="007D3173">
        <w:t xml:space="preserve"> All comments will be posted on the buildings web site. </w:t>
      </w:r>
    </w:p>
    <w:p w14:paraId="1357DEA7" w14:textId="77777777" w:rsidR="00A448A4" w:rsidRDefault="00A448A4" w:rsidP="00771897"/>
    <w:p w14:paraId="56D34388" w14:textId="6D7DEF72" w:rsidR="00771897" w:rsidRDefault="00771897" w:rsidP="00771897">
      <w:pPr>
        <w:rPr>
          <w:rStyle w:val="Hyperlink"/>
        </w:rPr>
      </w:pPr>
      <w:r w:rsidRPr="007D3173">
        <w:t xml:space="preserve">Submit comments via email; </w:t>
      </w:r>
      <w:hyperlink r:id="rId5" w:history="1">
        <w:r w:rsidRPr="007D3173">
          <w:rPr>
            <w:rStyle w:val="Hyperlink"/>
          </w:rPr>
          <w:t>buildings@commerce.wa.gov</w:t>
        </w:r>
      </w:hyperlink>
      <w:r>
        <w:rPr>
          <w:rStyle w:val="Hyperlink"/>
        </w:rPr>
        <w:t>.</w:t>
      </w:r>
    </w:p>
    <w:p w14:paraId="01D29C07" w14:textId="77777777" w:rsidR="00771897" w:rsidRDefault="00771897" w:rsidP="00771897">
      <w:pPr>
        <w:rPr>
          <w:rStyle w:val="Hyperlink"/>
        </w:rPr>
      </w:pPr>
      <w:r w:rsidRPr="00A448A4">
        <w:rPr>
          <w:rStyle w:val="Hyperlink"/>
          <w:color w:val="000000" w:themeColor="text1"/>
          <w:u w:val="none"/>
        </w:rPr>
        <w:t>Review comments and schedules on the Commerce Clean Buildings web site:</w:t>
      </w:r>
      <w:r w:rsidRPr="005415E0">
        <w:rPr>
          <w:rStyle w:val="Hyperlink"/>
          <w:u w:val="none"/>
        </w:rPr>
        <w:t xml:space="preserve"> </w:t>
      </w:r>
      <w:hyperlink r:id="rId6" w:history="1">
        <w:r w:rsidRPr="005415E0">
          <w:rPr>
            <w:rStyle w:val="Hyperlink"/>
            <w:u w:val="none"/>
          </w:rPr>
          <w:t>http://commerce.wa.gov/buildings</w:t>
        </w:r>
      </w:hyperlink>
    </w:p>
    <w:p w14:paraId="07B86BA6" w14:textId="77777777" w:rsidR="00771897" w:rsidRPr="005415E0" w:rsidRDefault="00771897" w:rsidP="00771897">
      <w:pPr>
        <w:rPr>
          <w:color w:val="0563C1" w:themeColor="hyperlink"/>
        </w:rPr>
      </w:pPr>
      <w:r w:rsidRPr="007D3173">
        <w:t>When editing the standard, please use a standard markup format that includes the following:</w:t>
      </w:r>
    </w:p>
    <w:p w14:paraId="49066E23" w14:textId="77777777" w:rsidR="00771897" w:rsidRPr="007D3173" w:rsidRDefault="00771897" w:rsidP="00771897">
      <w:pPr>
        <w:pStyle w:val="ListParagraph"/>
        <w:numPr>
          <w:ilvl w:val="0"/>
          <w:numId w:val="6"/>
        </w:numPr>
        <w:spacing w:after="160" w:line="259" w:lineRule="auto"/>
        <w:jc w:val="left"/>
      </w:pPr>
      <w:r w:rsidRPr="007D3173">
        <w:t>Copy the entire sub-section to be edited</w:t>
      </w:r>
    </w:p>
    <w:p w14:paraId="16BC1358" w14:textId="77777777" w:rsidR="00771897" w:rsidRPr="007D3173" w:rsidRDefault="00771897" w:rsidP="00771897">
      <w:pPr>
        <w:pStyle w:val="ListParagraph"/>
        <w:numPr>
          <w:ilvl w:val="0"/>
          <w:numId w:val="6"/>
        </w:numPr>
        <w:spacing w:after="160" w:line="259" w:lineRule="auto"/>
        <w:jc w:val="left"/>
      </w:pPr>
      <w:r w:rsidRPr="007D3173">
        <w:t xml:space="preserve">Underline text to be added </w:t>
      </w:r>
    </w:p>
    <w:p w14:paraId="483ECAF8" w14:textId="77777777" w:rsidR="00771897" w:rsidRPr="007D3173" w:rsidRDefault="00771897" w:rsidP="00771897">
      <w:pPr>
        <w:pStyle w:val="ListParagraph"/>
        <w:numPr>
          <w:ilvl w:val="0"/>
          <w:numId w:val="6"/>
        </w:numPr>
        <w:spacing w:after="160" w:line="259" w:lineRule="auto"/>
        <w:jc w:val="left"/>
      </w:pPr>
      <w:r w:rsidRPr="007D3173">
        <w:t>Use cross out text to indicate deletions</w:t>
      </w:r>
    </w:p>
    <w:p w14:paraId="2BFD682F" w14:textId="77777777" w:rsidR="00771897" w:rsidRPr="007D3173" w:rsidRDefault="00771897" w:rsidP="00771897">
      <w:pPr>
        <w:pStyle w:val="ListParagraph"/>
        <w:numPr>
          <w:ilvl w:val="0"/>
          <w:numId w:val="6"/>
        </w:numPr>
        <w:spacing w:after="160" w:line="259" w:lineRule="auto"/>
        <w:jc w:val="left"/>
      </w:pPr>
      <w:r w:rsidRPr="007D3173">
        <w:t xml:space="preserve">Provide a reason statement for the change  </w:t>
      </w:r>
    </w:p>
    <w:p w14:paraId="33928F9E" w14:textId="77777777" w:rsidR="00771897" w:rsidRDefault="00771897" w:rsidP="00771897">
      <w:r w:rsidRPr="00BB17CE">
        <w:t>For any new sections, provide suggested location in the document by referencing the previous section.</w:t>
      </w:r>
      <w:r>
        <w:t xml:space="preserve">  </w:t>
      </w:r>
    </w:p>
    <w:p w14:paraId="189C7140" w14:textId="77777777" w:rsidR="00771897" w:rsidRDefault="00771897" w:rsidP="00771897">
      <w:pPr>
        <w:pStyle w:val="Heading3"/>
        <w:ind w:left="-5" w:right="0"/>
      </w:pPr>
    </w:p>
    <w:p w14:paraId="58C97E92" w14:textId="44B1575A" w:rsidR="00771897" w:rsidRDefault="00771897">
      <w:pPr>
        <w:spacing w:after="160" w:line="259" w:lineRule="auto"/>
        <w:ind w:firstLine="0"/>
        <w:jc w:val="left"/>
        <w:rPr>
          <w:rFonts w:ascii="Arial" w:eastAsia="Arial" w:hAnsi="Arial" w:cs="Arial"/>
          <w:b/>
        </w:rPr>
      </w:pPr>
      <w:r>
        <w:br w:type="page"/>
      </w:r>
    </w:p>
    <w:p w14:paraId="6270ECE3" w14:textId="77777777" w:rsidR="00573FEF" w:rsidRDefault="00573FEF" w:rsidP="001C1889">
      <w:pPr>
        <w:pStyle w:val="Heading3"/>
        <w:ind w:left="-5" w:right="0"/>
      </w:pPr>
    </w:p>
    <w:p w14:paraId="50FE8FC0" w14:textId="5C8E7F4D" w:rsidR="004B30A5" w:rsidRPr="00573FEF" w:rsidRDefault="001C1889" w:rsidP="00573FEF">
      <w:pPr>
        <w:pStyle w:val="Heading3"/>
        <w:ind w:left="-5" w:right="0"/>
      </w:pPr>
      <w:commentRangeStart w:id="3"/>
      <w:r>
        <w:t>3. DEFINITIONS</w:t>
      </w:r>
      <w:bookmarkEnd w:id="0"/>
      <w:commentRangeEnd w:id="3"/>
      <w:r w:rsidR="00573FEF">
        <w:rPr>
          <w:rStyle w:val="CommentReference"/>
          <w:rFonts w:ascii="Times New Roman" w:eastAsia="Times New Roman" w:hAnsi="Times New Roman" w:cs="Times New Roman"/>
          <w:b w:val="0"/>
        </w:rPr>
        <w:commentReference w:id="3"/>
      </w:r>
    </w:p>
    <w:p w14:paraId="609AED86" w14:textId="77777777" w:rsidR="00460B26" w:rsidRDefault="00460B26" w:rsidP="00460B26">
      <w:pPr>
        <w:rPr>
          <w:b/>
          <w:u w:val="single"/>
        </w:rPr>
      </w:pPr>
    </w:p>
    <w:p w14:paraId="32971BC0" w14:textId="77777777" w:rsidR="00460B26" w:rsidRPr="008C3013" w:rsidRDefault="00460B26" w:rsidP="00460B26">
      <w:pPr>
        <w:rPr>
          <w:u w:val="single"/>
        </w:rPr>
      </w:pPr>
      <w:r w:rsidRPr="008C3013">
        <w:rPr>
          <w:b/>
          <w:u w:val="single"/>
        </w:rPr>
        <w:t>weather normalized:</w:t>
      </w:r>
      <w:r w:rsidRPr="008C3013">
        <w:rPr>
          <w:u w:val="single"/>
        </w:rPr>
        <w:t xml:space="preserve"> a method for modifying the measured building energy use in a specific weather year to energy use under normal weather conditions</w:t>
      </w:r>
    </w:p>
    <w:p w14:paraId="6A106811" w14:textId="77777777" w:rsidR="00460B26" w:rsidRDefault="00460B26" w:rsidP="00460B26"/>
    <w:p w14:paraId="127553C8" w14:textId="77777777" w:rsidR="00460B26" w:rsidRDefault="00460B26" w:rsidP="00460B26">
      <w:pPr>
        <w:rPr>
          <w:u w:val="single"/>
        </w:rPr>
      </w:pPr>
      <w:r w:rsidRPr="008C3013">
        <w:rPr>
          <w:b/>
          <w:u w:val="single"/>
        </w:rPr>
        <w:t>weather normalized</w:t>
      </w:r>
      <w:r>
        <w:rPr>
          <w:b/>
          <w:u w:val="single"/>
        </w:rPr>
        <w:t xml:space="preserve"> energy utilization index (WNEUI)</w:t>
      </w:r>
      <w:r w:rsidRPr="008C3013">
        <w:rPr>
          <w:b/>
          <w:u w:val="single"/>
        </w:rPr>
        <w:t>:</w:t>
      </w:r>
      <w:r w:rsidRPr="008C3013">
        <w:rPr>
          <w:u w:val="single"/>
        </w:rPr>
        <w:t xml:space="preserve"> </w:t>
      </w:r>
      <w:r w:rsidRPr="00361FB6">
        <w:rPr>
          <w:u w:val="single"/>
        </w:rPr>
        <w:t xml:space="preserve">means a measurement that normalizes a building's site </w:t>
      </w:r>
      <w:r>
        <w:rPr>
          <w:u w:val="single"/>
        </w:rPr>
        <w:t xml:space="preserve">energy use relative to its size based on the buildings weather normalized site energy use. </w:t>
      </w:r>
      <w:r w:rsidRPr="00361FB6">
        <w:rPr>
          <w:u w:val="single"/>
        </w:rPr>
        <w:t xml:space="preserve"> A building's energy use intensity is calculated by dividing the total net </w:t>
      </w:r>
      <w:r>
        <w:rPr>
          <w:u w:val="single"/>
        </w:rPr>
        <w:t xml:space="preserve">weather normalized </w:t>
      </w:r>
      <w:r w:rsidRPr="00361FB6">
        <w:rPr>
          <w:u w:val="single"/>
        </w:rPr>
        <w:t>energy consumed in one year by the gross floor area of the building, excluding the parking garage. "</w:t>
      </w:r>
      <w:r w:rsidRPr="008B19EB">
        <w:rPr>
          <w:i/>
          <w:u w:val="single"/>
        </w:rPr>
        <w:t>weather normalized energy use intensity</w:t>
      </w:r>
      <w:r w:rsidRPr="00361FB6">
        <w:rPr>
          <w:u w:val="single"/>
        </w:rPr>
        <w:t>" is reported as a value of a thousand British thermal units per square foot per year.</w:t>
      </w:r>
    </w:p>
    <w:p w14:paraId="3A1BDFF2" w14:textId="77777777" w:rsidR="008C3013" w:rsidRDefault="008C3013" w:rsidP="001C1889">
      <w:pPr>
        <w:spacing w:after="101" w:line="244" w:lineRule="auto"/>
        <w:ind w:left="-5" w:right="-13" w:hanging="10"/>
        <w:rPr>
          <w:bCs/>
          <w:color w:val="231F20"/>
        </w:rPr>
      </w:pPr>
    </w:p>
    <w:p w14:paraId="5A6B1AE8" w14:textId="77777777" w:rsidR="001C1889" w:rsidRDefault="001C1889" w:rsidP="001C1889">
      <w:pPr>
        <w:spacing w:after="101" w:line="244" w:lineRule="auto"/>
        <w:ind w:left="-5" w:right="-13" w:hanging="10"/>
        <w:rPr>
          <w:bCs/>
          <w:color w:val="231F20"/>
        </w:rPr>
      </w:pPr>
    </w:p>
    <w:p w14:paraId="59F427DF" w14:textId="77777777" w:rsidR="001C1889" w:rsidRDefault="001C1889" w:rsidP="00D33874">
      <w:pPr>
        <w:pStyle w:val="Heading3"/>
        <w:ind w:left="0" w:right="0" w:firstLine="0"/>
      </w:pPr>
      <w:bookmarkStart w:id="4" w:name="_Toc894296"/>
      <w:r>
        <w:t xml:space="preserve">4. </w:t>
      </w:r>
      <w:commentRangeStart w:id="5"/>
      <w:r>
        <w:t>COMPLIANCE REQUIREMENTS</w:t>
      </w:r>
      <w:bookmarkEnd w:id="4"/>
      <w:commentRangeEnd w:id="5"/>
      <w:r w:rsidR="00573FEF">
        <w:rPr>
          <w:rStyle w:val="CommentReference"/>
          <w:rFonts w:ascii="Times New Roman" w:eastAsia="Times New Roman" w:hAnsi="Times New Roman" w:cs="Times New Roman"/>
          <w:b w:val="0"/>
        </w:rPr>
        <w:commentReference w:id="5"/>
      </w:r>
    </w:p>
    <w:p w14:paraId="06AA7DF1" w14:textId="77777777" w:rsidR="001C1889" w:rsidRDefault="001C1889" w:rsidP="001C1889">
      <w:pPr>
        <w:spacing w:after="7" w:line="251" w:lineRule="auto"/>
        <w:ind w:left="-5" w:hanging="10"/>
        <w:rPr>
          <w:b/>
        </w:rPr>
      </w:pPr>
    </w:p>
    <w:p w14:paraId="55AE378E" w14:textId="77777777" w:rsidR="001C1889" w:rsidRDefault="001C1889" w:rsidP="001C1889">
      <w:pPr>
        <w:spacing w:after="7" w:line="251" w:lineRule="auto"/>
        <w:ind w:left="-5" w:hanging="10"/>
      </w:pPr>
      <w:r>
        <w:rPr>
          <w:b/>
        </w:rPr>
        <w:t>4.2 Energy Management Plan and Operations and</w:t>
      </w:r>
    </w:p>
    <w:p w14:paraId="1796147C" w14:textId="77777777" w:rsidR="001C1889" w:rsidRDefault="001C1889" w:rsidP="001C1889">
      <w:pPr>
        <w:pStyle w:val="Heading5"/>
        <w:ind w:left="-5" w:right="0"/>
      </w:pPr>
      <w:r>
        <w:t>Maintenance Program</w:t>
      </w:r>
    </w:p>
    <w:p w14:paraId="739CA0FA" w14:textId="77777777" w:rsidR="001C1889" w:rsidRPr="00ED3265" w:rsidRDefault="001C1889" w:rsidP="001C1889">
      <w:pPr>
        <w:ind w:left="-15" w:right="13"/>
      </w:pPr>
      <w:r w:rsidRPr="00ED3265">
        <w:rPr>
          <w:b/>
        </w:rPr>
        <w:t>4.2.1 Operations and Maintenance.</w:t>
      </w:r>
      <w:r w:rsidRPr="00ED3265">
        <w:t xml:space="preserve"> The </w:t>
      </w:r>
      <w:r w:rsidRPr="00ED3265">
        <w:rPr>
          <w:i/>
        </w:rPr>
        <w:t>building manager</w:t>
      </w:r>
      <w:r w:rsidRPr="00ED3265">
        <w:t xml:space="preserve"> shall comply with the operations and maintenance (O&amp;M) requirements of Section 6. The </w:t>
      </w:r>
      <w:r w:rsidRPr="00ED3265">
        <w:rPr>
          <w:i/>
        </w:rPr>
        <w:t xml:space="preserve">qualified person </w:t>
      </w:r>
      <w:r w:rsidRPr="00ED3265">
        <w:t>determining compliance shall state in writing on Form A that the operating and maintenance requirements of Section 6 have been met according to the following subsections.</w:t>
      </w:r>
    </w:p>
    <w:p w14:paraId="5AD87F0B" w14:textId="77777777" w:rsidR="001C1889" w:rsidRPr="00ED3265" w:rsidRDefault="001C1889" w:rsidP="001C1889">
      <w:r w:rsidRPr="00ED3265">
        <w:rPr>
          <w:b/>
        </w:rPr>
        <w:t>4.2.1.1</w:t>
      </w:r>
      <w:r w:rsidRPr="00ED3265">
        <w:t xml:space="preserve"> For first-time applicants, for the previous year.</w:t>
      </w:r>
    </w:p>
    <w:p w14:paraId="3E8EBC50" w14:textId="77777777" w:rsidR="001C1889" w:rsidRPr="00ED3265" w:rsidRDefault="001C1889" w:rsidP="001C1889">
      <w:pPr>
        <w:ind w:right="13"/>
      </w:pPr>
      <w:r w:rsidRPr="00ED3265">
        <w:rPr>
          <w:b/>
        </w:rPr>
        <w:t xml:space="preserve">4.2.1.2 </w:t>
      </w:r>
      <w:r w:rsidRPr="00ED3265">
        <w:t xml:space="preserve">For previously compliant </w:t>
      </w:r>
      <w:r w:rsidRPr="00ED3265">
        <w:rPr>
          <w:i/>
        </w:rPr>
        <w:t>buildings</w:t>
      </w:r>
      <w:r w:rsidRPr="00ED3265">
        <w:t>, since the previous validation of compliance.</w:t>
      </w:r>
    </w:p>
    <w:p w14:paraId="04DB1172" w14:textId="77777777" w:rsidR="001C1889" w:rsidRDefault="001C1889" w:rsidP="001C1889">
      <w:pPr>
        <w:spacing w:after="78"/>
        <w:ind w:left="-15" w:right="13"/>
      </w:pPr>
      <w:r w:rsidRPr="00ED3265">
        <w:rPr>
          <w:b/>
        </w:rPr>
        <w:t>4.2.2 Energy Management Plan.</w:t>
      </w:r>
      <w:r w:rsidRPr="00ED3265">
        <w:t xml:space="preserve"> The </w:t>
      </w:r>
      <w:r w:rsidRPr="00ED3265">
        <w:rPr>
          <w:i/>
        </w:rPr>
        <w:t xml:space="preserve">building manager </w:t>
      </w:r>
      <w:r w:rsidRPr="00ED3265">
        <w:t xml:space="preserve">shall comply with the energy management requirements of Section 5. The </w:t>
      </w:r>
      <w:r w:rsidRPr="00ED3265">
        <w:rPr>
          <w:i/>
        </w:rPr>
        <w:t>qualified person</w:t>
      </w:r>
      <w:r w:rsidRPr="00ED3265">
        <w:t xml:space="preserve"> determining compliance shall state in writing on Form A that the energy management program described in Section 5 has been developed and is being maintained as of the date on Form A.</w:t>
      </w:r>
    </w:p>
    <w:p w14:paraId="633907B9" w14:textId="77777777" w:rsidR="001C1889" w:rsidRDefault="001C1889" w:rsidP="001C1889">
      <w:pPr>
        <w:ind w:left="134" w:firstLine="0"/>
      </w:pPr>
    </w:p>
    <w:p w14:paraId="1DEA1EB9" w14:textId="77777777" w:rsidR="00903DA8" w:rsidRPr="00903DA8" w:rsidRDefault="00903DA8" w:rsidP="00D33874">
      <w:pPr>
        <w:ind w:firstLine="0"/>
        <w:rPr>
          <w:b/>
        </w:rPr>
      </w:pPr>
      <w:r w:rsidRPr="00903DA8">
        <w:rPr>
          <w:b/>
        </w:rPr>
        <w:t>4.4 General</w:t>
      </w:r>
    </w:p>
    <w:p w14:paraId="39A962DE" w14:textId="77777777" w:rsidR="009F5C85" w:rsidRDefault="00903DA8" w:rsidP="00903DA8">
      <w:pPr>
        <w:spacing w:after="74"/>
        <w:ind w:left="-15" w:right="13"/>
      </w:pPr>
      <w:r>
        <w:rPr>
          <w:b/>
        </w:rPr>
        <w:t>4.4.1 Administrative Requirements.</w:t>
      </w:r>
      <w:r>
        <w:t xml:space="preserve"> Administrative requirements relating to permits, enforcement by the </w:t>
      </w:r>
      <w:r>
        <w:rPr>
          <w:i/>
        </w:rPr>
        <w:t>AHJ</w:t>
      </w:r>
      <w:r>
        <w:t xml:space="preserve">, locally adopted energy standards including energy performance targets, interpretations, claims of exemption, and rights of appeal are specified by the </w:t>
      </w:r>
      <w:r>
        <w:rPr>
          <w:i/>
        </w:rPr>
        <w:t>AHJ</w:t>
      </w:r>
      <w:r>
        <w:t>.</w:t>
      </w:r>
    </w:p>
    <w:p w14:paraId="3242B950" w14:textId="77777777" w:rsidR="009F5C85" w:rsidRDefault="009F5C85" w:rsidP="00903DA8">
      <w:pPr>
        <w:spacing w:after="74"/>
        <w:ind w:left="-15" w:right="13"/>
      </w:pPr>
    </w:p>
    <w:p w14:paraId="44CC03A9" w14:textId="1C128E10" w:rsidR="009F5C85" w:rsidRPr="009F5C85" w:rsidRDefault="009F5C85" w:rsidP="009F5C85">
      <w:pPr>
        <w:spacing w:after="74"/>
        <w:ind w:right="13" w:firstLine="0"/>
        <w:rPr>
          <w:b/>
        </w:rPr>
      </w:pPr>
      <w:r w:rsidRPr="009F5C85">
        <w:rPr>
          <w:b/>
          <w:u w:val="single"/>
        </w:rPr>
        <w:t>4.4.</w:t>
      </w:r>
      <w:r w:rsidR="00ED3265">
        <w:rPr>
          <w:b/>
          <w:u w:val="single"/>
        </w:rPr>
        <w:t>1.</w:t>
      </w:r>
      <w:r w:rsidRPr="009F5C85">
        <w:rPr>
          <w:b/>
          <w:u w:val="single"/>
        </w:rPr>
        <w:t>* Reporting Schedule:</w:t>
      </w:r>
      <w:r>
        <w:rPr>
          <w:b/>
        </w:rPr>
        <w:t xml:space="preserve"> </w:t>
      </w:r>
      <w:r w:rsidRPr="009F5C85">
        <w:rPr>
          <w:rFonts w:ascii="&amp;quot" w:hAnsi="&amp;quot"/>
          <w:sz w:val="24"/>
          <w:szCs w:val="24"/>
          <w:u w:val="single"/>
        </w:rPr>
        <w:t>A building owner of a covered commercial building must meet the following reporting schedule for complying with the standard established under this section:</w:t>
      </w:r>
    </w:p>
    <w:p w14:paraId="61B53CD0" w14:textId="77777777" w:rsidR="009F5C85" w:rsidRPr="009F5C85" w:rsidRDefault="009F5C85" w:rsidP="001B01D0">
      <w:pPr>
        <w:spacing w:after="0" w:line="240" w:lineRule="auto"/>
        <w:ind w:left="720" w:firstLine="0"/>
        <w:jc w:val="left"/>
        <w:rPr>
          <w:rFonts w:ascii="&amp;quot" w:hAnsi="&amp;quot"/>
          <w:sz w:val="24"/>
          <w:szCs w:val="24"/>
          <w:u w:val="single"/>
        </w:rPr>
      </w:pPr>
      <w:r>
        <w:rPr>
          <w:rFonts w:ascii="&amp;quot" w:hAnsi="&amp;quot"/>
          <w:sz w:val="24"/>
          <w:szCs w:val="24"/>
          <w:u w:val="single"/>
        </w:rPr>
        <w:t xml:space="preserve">(a) </w:t>
      </w:r>
      <w:r w:rsidRPr="009F5C85">
        <w:rPr>
          <w:rFonts w:ascii="&amp;quot" w:hAnsi="&amp;quot"/>
          <w:sz w:val="24"/>
          <w:szCs w:val="24"/>
          <w:u w:val="single"/>
        </w:rPr>
        <w:t>For a building with more than two hundred twenty thousand gross square feet, June 1, 2026;</w:t>
      </w:r>
    </w:p>
    <w:p w14:paraId="00EAF047" w14:textId="77777777" w:rsidR="009F5C85" w:rsidRPr="009F5C85" w:rsidRDefault="009F5C85" w:rsidP="001B01D0">
      <w:pPr>
        <w:spacing w:after="0" w:line="240" w:lineRule="auto"/>
        <w:ind w:left="720" w:firstLine="0"/>
        <w:jc w:val="left"/>
        <w:rPr>
          <w:rFonts w:ascii="&amp;quot" w:hAnsi="&amp;quot"/>
          <w:sz w:val="24"/>
          <w:szCs w:val="24"/>
          <w:u w:val="single"/>
        </w:rPr>
      </w:pPr>
      <w:r w:rsidRPr="009F5C85">
        <w:rPr>
          <w:rFonts w:ascii="&amp;quot" w:hAnsi="&amp;quot"/>
          <w:sz w:val="24"/>
          <w:szCs w:val="24"/>
          <w:u w:val="single"/>
        </w:rPr>
        <w:t>(b) For a building with more than ninety thousand gross square feet but less than two hundred twenty thousand and one gross square feet, June 1, 2027; and</w:t>
      </w:r>
    </w:p>
    <w:p w14:paraId="501078CF" w14:textId="77777777" w:rsidR="009F5C85" w:rsidRPr="009F5C85" w:rsidRDefault="009F5C85" w:rsidP="001B01D0">
      <w:pPr>
        <w:spacing w:after="0" w:line="240" w:lineRule="auto"/>
        <w:ind w:left="720" w:firstLine="0"/>
        <w:jc w:val="left"/>
        <w:rPr>
          <w:rFonts w:ascii="&amp;quot" w:hAnsi="&amp;quot"/>
          <w:sz w:val="24"/>
          <w:szCs w:val="24"/>
          <w:u w:val="single"/>
        </w:rPr>
      </w:pPr>
      <w:r w:rsidRPr="009F5C85">
        <w:rPr>
          <w:rFonts w:ascii="&amp;quot" w:hAnsi="&amp;quot"/>
          <w:sz w:val="24"/>
          <w:szCs w:val="24"/>
          <w:u w:val="single"/>
        </w:rPr>
        <w:t>(c) For a building with more than fifty thousand gross square feet but less than ninety thousand and one square feet, June 1, 2028.</w:t>
      </w:r>
    </w:p>
    <w:p w14:paraId="22F76CB4" w14:textId="77777777" w:rsidR="009F5C85" w:rsidRDefault="009F5C85" w:rsidP="001B01D0">
      <w:pPr>
        <w:spacing w:after="74"/>
        <w:ind w:left="720" w:right="13" w:firstLine="0"/>
        <w:rPr>
          <w:b/>
        </w:rPr>
      </w:pPr>
      <w:r>
        <w:rPr>
          <w:b/>
        </w:rPr>
        <w:t xml:space="preserve"> </w:t>
      </w:r>
    </w:p>
    <w:p w14:paraId="0911E99F" w14:textId="77777777" w:rsidR="009F5C85" w:rsidRDefault="009F5C85" w:rsidP="009F5C85">
      <w:pPr>
        <w:spacing w:after="74"/>
        <w:ind w:right="13" w:firstLine="0"/>
        <w:rPr>
          <w:b/>
        </w:rPr>
      </w:pPr>
    </w:p>
    <w:p w14:paraId="0F3C1D08" w14:textId="77777777" w:rsidR="009F5C85" w:rsidRDefault="009F5C85" w:rsidP="009F5C85">
      <w:pPr>
        <w:spacing w:after="74"/>
        <w:ind w:right="13" w:firstLine="0"/>
        <w:rPr>
          <w:b/>
        </w:rPr>
      </w:pPr>
    </w:p>
    <w:p w14:paraId="10326C17" w14:textId="0E4F373D" w:rsidR="00633789" w:rsidRPr="001B01D0" w:rsidRDefault="009F5C85" w:rsidP="009F5C85">
      <w:pPr>
        <w:spacing w:after="74"/>
        <w:ind w:right="13" w:firstLine="0"/>
        <w:rPr>
          <w:b/>
          <w:u w:val="single"/>
        </w:rPr>
      </w:pPr>
      <w:r w:rsidRPr="001B01D0">
        <w:rPr>
          <w:b/>
          <w:u w:val="single"/>
        </w:rPr>
        <w:t>4.4.</w:t>
      </w:r>
      <w:r w:rsidR="00ED3265">
        <w:rPr>
          <w:b/>
          <w:u w:val="single"/>
        </w:rPr>
        <w:t>1.</w:t>
      </w:r>
      <w:r w:rsidRPr="001B01D0">
        <w:rPr>
          <w:b/>
          <w:u w:val="single"/>
        </w:rPr>
        <w:t xml:space="preserve">? Reporting Requirements, </w:t>
      </w:r>
      <w:r w:rsidR="00633789" w:rsidRPr="00633789">
        <w:rPr>
          <w:rFonts w:ascii="&amp;quot" w:hAnsi="&amp;quot"/>
          <w:sz w:val="24"/>
          <w:szCs w:val="24"/>
          <w:u w:val="single"/>
        </w:rPr>
        <w:t xml:space="preserve">The building owner of a covered commercial building must report the building owner's compliance with the standard to the department in accordance with the schedule established under </w:t>
      </w:r>
      <w:r w:rsidR="00633789" w:rsidRPr="001B01D0">
        <w:rPr>
          <w:rFonts w:ascii="&amp;quot" w:hAnsi="&amp;quot"/>
          <w:sz w:val="24"/>
          <w:szCs w:val="24"/>
          <w:u w:val="single"/>
        </w:rPr>
        <w:t>section 4.4.</w:t>
      </w:r>
      <w:r w:rsidR="00ED3265">
        <w:rPr>
          <w:rFonts w:ascii="&amp;quot" w:hAnsi="&amp;quot"/>
          <w:sz w:val="24"/>
          <w:szCs w:val="24"/>
          <w:u w:val="single"/>
        </w:rPr>
        <w:t>1.</w:t>
      </w:r>
      <w:r w:rsidR="00633789" w:rsidRPr="001B01D0">
        <w:rPr>
          <w:rFonts w:ascii="&amp;quot" w:hAnsi="&amp;quot"/>
          <w:sz w:val="24"/>
          <w:szCs w:val="24"/>
          <w:u w:val="single"/>
        </w:rPr>
        <w:t xml:space="preserve">* </w:t>
      </w:r>
      <w:r w:rsidR="00633789" w:rsidRPr="00633789">
        <w:rPr>
          <w:rFonts w:ascii="&amp;quot" w:hAnsi="&amp;quot"/>
          <w:sz w:val="24"/>
          <w:szCs w:val="24"/>
          <w:u w:val="single"/>
        </w:rPr>
        <w:t>of this section and every five years thereafter.</w:t>
      </w:r>
    </w:p>
    <w:p w14:paraId="796959F6" w14:textId="70CB88E2" w:rsidR="00633789" w:rsidRPr="001B01D0" w:rsidRDefault="00633789" w:rsidP="00633789">
      <w:pPr>
        <w:spacing w:after="74"/>
        <w:ind w:left="720" w:right="13" w:firstLine="0"/>
        <w:rPr>
          <w:u w:val="single"/>
        </w:rPr>
      </w:pPr>
      <w:r w:rsidRPr="001B01D0">
        <w:rPr>
          <w:b/>
          <w:u w:val="single"/>
        </w:rPr>
        <w:lastRenderedPageBreak/>
        <w:t xml:space="preserve">Exceptions: </w:t>
      </w:r>
      <w:r w:rsidR="004B0C29" w:rsidRPr="001B01D0">
        <w:rPr>
          <w:b/>
          <w:u w:val="single"/>
        </w:rPr>
        <w:t xml:space="preserve">For </w:t>
      </w:r>
      <w:r w:rsidR="004B0C29" w:rsidRPr="001B01D0">
        <w:rPr>
          <w:u w:val="single"/>
        </w:rPr>
        <w:t>b</w:t>
      </w:r>
      <w:r w:rsidRPr="001B01D0">
        <w:rPr>
          <w:u w:val="single"/>
        </w:rPr>
        <w:t>uildings that meet one of the following exemptions</w:t>
      </w:r>
      <w:r w:rsidR="004B0C29" w:rsidRPr="001B01D0">
        <w:rPr>
          <w:u w:val="single"/>
        </w:rPr>
        <w:t>, the building owner</w:t>
      </w:r>
      <w:r w:rsidRPr="001B01D0">
        <w:rPr>
          <w:u w:val="single"/>
        </w:rPr>
        <w:t xml:space="preserve"> shall submit documentation that they qualify for the exception by the reporting date specified in section 4.4.</w:t>
      </w:r>
      <w:r w:rsidR="00ED3265">
        <w:rPr>
          <w:u w:val="single"/>
        </w:rPr>
        <w:t>1.</w:t>
      </w:r>
      <w:r w:rsidRPr="001B01D0">
        <w:rPr>
          <w:u w:val="single"/>
        </w:rPr>
        <w:t>*</w:t>
      </w:r>
    </w:p>
    <w:p w14:paraId="59AD27A1" w14:textId="3B37B0DC" w:rsidR="00633789" w:rsidRPr="00633789" w:rsidRDefault="00633789" w:rsidP="004B0C29">
      <w:pPr>
        <w:spacing w:after="0" w:line="240" w:lineRule="auto"/>
        <w:ind w:left="720" w:firstLine="0"/>
        <w:jc w:val="left"/>
        <w:rPr>
          <w:rFonts w:ascii="&amp;quot" w:hAnsi="&amp;quot"/>
          <w:sz w:val="24"/>
          <w:szCs w:val="24"/>
          <w:u w:val="single"/>
        </w:rPr>
      </w:pPr>
      <w:r w:rsidRPr="001B01D0">
        <w:rPr>
          <w:rFonts w:ascii="&amp;quot" w:hAnsi="&amp;quot"/>
          <w:sz w:val="24"/>
          <w:szCs w:val="24"/>
          <w:u w:val="single"/>
        </w:rPr>
        <w:t xml:space="preserve"> </w:t>
      </w:r>
      <w:r w:rsidRPr="00633789">
        <w:rPr>
          <w:rFonts w:ascii="&amp;quot" w:hAnsi="&amp;quot"/>
          <w:sz w:val="24"/>
          <w:szCs w:val="24"/>
          <w:u w:val="single"/>
        </w:rPr>
        <w:t xml:space="preserve">(i) The building did not have a certificate of occupancy or temporary certificate of occupancy for all twelve months of the calendar year prior to the building owner compliance schedule established under </w:t>
      </w:r>
      <w:r w:rsidR="004B0C29" w:rsidRPr="001B01D0">
        <w:rPr>
          <w:rFonts w:ascii="&amp;quot" w:hAnsi="&amp;quot"/>
          <w:sz w:val="24"/>
          <w:szCs w:val="24"/>
          <w:u w:val="single"/>
        </w:rPr>
        <w:t>section 4.4.</w:t>
      </w:r>
      <w:r w:rsidR="00ED3265">
        <w:rPr>
          <w:rFonts w:ascii="&amp;quot" w:hAnsi="&amp;quot"/>
          <w:sz w:val="24"/>
          <w:szCs w:val="24"/>
          <w:u w:val="single"/>
        </w:rPr>
        <w:t>1.</w:t>
      </w:r>
      <w:r w:rsidR="004B0C29" w:rsidRPr="001B01D0">
        <w:rPr>
          <w:rFonts w:ascii="&amp;quot" w:hAnsi="&amp;quot"/>
          <w:sz w:val="24"/>
          <w:szCs w:val="24"/>
          <w:u w:val="single"/>
        </w:rPr>
        <w:t>*</w:t>
      </w:r>
    </w:p>
    <w:p w14:paraId="62D62FAA" w14:textId="326D13CC" w:rsidR="00633789" w:rsidRPr="00633789" w:rsidRDefault="00633789" w:rsidP="004B0C29">
      <w:pPr>
        <w:spacing w:after="0" w:line="240" w:lineRule="auto"/>
        <w:ind w:left="720" w:firstLine="0"/>
        <w:jc w:val="left"/>
        <w:rPr>
          <w:rFonts w:ascii="&amp;quot" w:hAnsi="&amp;quot"/>
          <w:sz w:val="24"/>
          <w:szCs w:val="24"/>
          <w:u w:val="single"/>
        </w:rPr>
      </w:pPr>
      <w:r w:rsidRPr="00633789">
        <w:rPr>
          <w:rFonts w:ascii="&amp;quot" w:hAnsi="&amp;quot"/>
          <w:sz w:val="24"/>
          <w:szCs w:val="24"/>
          <w:u w:val="single"/>
        </w:rPr>
        <w:t xml:space="preserve">(ii) The building did not have an average physical occupancy of at least fifty percent throughout the calendar year prior to the building owner compliance schedule established under </w:t>
      </w:r>
      <w:r w:rsidR="004B0C29" w:rsidRPr="001B01D0">
        <w:rPr>
          <w:rFonts w:ascii="&amp;quot" w:hAnsi="&amp;quot"/>
          <w:sz w:val="24"/>
          <w:szCs w:val="24"/>
          <w:u w:val="single"/>
        </w:rPr>
        <w:t>section 4.4.</w:t>
      </w:r>
      <w:r w:rsidR="00ED3265">
        <w:rPr>
          <w:rFonts w:ascii="&amp;quot" w:hAnsi="&amp;quot"/>
          <w:sz w:val="24"/>
          <w:szCs w:val="24"/>
          <w:u w:val="single"/>
        </w:rPr>
        <w:t>1.</w:t>
      </w:r>
      <w:r w:rsidR="004B0C29" w:rsidRPr="001B01D0">
        <w:rPr>
          <w:rFonts w:ascii="&amp;quot" w:hAnsi="&amp;quot"/>
          <w:sz w:val="24"/>
          <w:szCs w:val="24"/>
          <w:u w:val="single"/>
        </w:rPr>
        <w:t>*</w:t>
      </w:r>
    </w:p>
    <w:p w14:paraId="4DEF8757" w14:textId="77777777" w:rsidR="00633789" w:rsidRPr="00633789" w:rsidRDefault="00633789" w:rsidP="004B0C29">
      <w:pPr>
        <w:spacing w:after="0" w:line="240" w:lineRule="auto"/>
        <w:ind w:left="720" w:firstLine="0"/>
        <w:jc w:val="left"/>
        <w:rPr>
          <w:rFonts w:ascii="&amp;quot" w:hAnsi="&amp;quot"/>
          <w:sz w:val="24"/>
          <w:szCs w:val="24"/>
          <w:u w:val="single"/>
        </w:rPr>
      </w:pPr>
      <w:r w:rsidRPr="00633789">
        <w:rPr>
          <w:rFonts w:ascii="&amp;quot" w:hAnsi="&amp;quot"/>
          <w:sz w:val="24"/>
          <w:szCs w:val="24"/>
          <w:u w:val="single"/>
        </w:rPr>
        <w:t>(iii) The sum of the buildings gross floor area minus unconditioned and semiconditioned spaces, as defined in the Washington state energy code, is less than fifty thousand square feet;</w:t>
      </w:r>
    </w:p>
    <w:p w14:paraId="7927F4BC" w14:textId="77777777" w:rsidR="004B0C29" w:rsidRPr="001B01D0" w:rsidRDefault="00633789" w:rsidP="004B0C29">
      <w:pPr>
        <w:spacing w:after="0" w:line="240" w:lineRule="auto"/>
        <w:ind w:left="720" w:firstLine="0"/>
        <w:jc w:val="left"/>
        <w:rPr>
          <w:rFonts w:ascii="&amp;quot" w:hAnsi="&amp;quot"/>
          <w:sz w:val="24"/>
          <w:szCs w:val="24"/>
          <w:u w:val="single"/>
        </w:rPr>
      </w:pPr>
      <w:r w:rsidRPr="00633789">
        <w:rPr>
          <w:rFonts w:ascii="&amp;quot" w:hAnsi="&amp;quot"/>
          <w:sz w:val="24"/>
          <w:szCs w:val="24"/>
          <w:u w:val="single"/>
        </w:rPr>
        <w:t xml:space="preserve">(iv) The primary use of the building is manufacturing or other industrial purposes, as defined under the following use designations of the international building code: </w:t>
      </w:r>
    </w:p>
    <w:p w14:paraId="0CE4D23A" w14:textId="77777777" w:rsidR="004B0C29" w:rsidRPr="001B01D0" w:rsidRDefault="00633789" w:rsidP="004B0C29">
      <w:pPr>
        <w:spacing w:after="0" w:line="240" w:lineRule="auto"/>
        <w:ind w:left="1440" w:firstLine="0"/>
        <w:jc w:val="left"/>
        <w:rPr>
          <w:rFonts w:ascii="&amp;quot" w:hAnsi="&amp;quot"/>
          <w:sz w:val="24"/>
          <w:szCs w:val="24"/>
          <w:u w:val="single"/>
        </w:rPr>
      </w:pPr>
      <w:r w:rsidRPr="00633789">
        <w:rPr>
          <w:rFonts w:ascii="&amp;quot" w:hAnsi="&amp;quot"/>
          <w:sz w:val="24"/>
          <w:szCs w:val="24"/>
          <w:u w:val="single"/>
        </w:rPr>
        <w:t xml:space="preserve">(A) Factory group F; or </w:t>
      </w:r>
    </w:p>
    <w:p w14:paraId="4161AD59" w14:textId="77777777" w:rsidR="00633789" w:rsidRPr="00633789" w:rsidRDefault="00633789" w:rsidP="004B0C29">
      <w:pPr>
        <w:spacing w:after="0" w:line="240" w:lineRule="auto"/>
        <w:ind w:left="1440" w:firstLine="0"/>
        <w:jc w:val="left"/>
        <w:rPr>
          <w:rFonts w:ascii="&amp;quot" w:hAnsi="&amp;quot"/>
          <w:sz w:val="24"/>
          <w:szCs w:val="24"/>
          <w:u w:val="single"/>
        </w:rPr>
      </w:pPr>
      <w:r w:rsidRPr="00633789">
        <w:rPr>
          <w:rFonts w:ascii="&amp;quot" w:hAnsi="&amp;quot"/>
          <w:sz w:val="24"/>
          <w:szCs w:val="24"/>
          <w:u w:val="single"/>
        </w:rPr>
        <w:t>(B) high hazard group H;</w:t>
      </w:r>
    </w:p>
    <w:p w14:paraId="5B440499" w14:textId="77777777" w:rsidR="00633789" w:rsidRPr="00633789" w:rsidRDefault="00633789" w:rsidP="004B0C29">
      <w:pPr>
        <w:spacing w:after="0" w:line="240" w:lineRule="auto"/>
        <w:ind w:left="720" w:firstLine="0"/>
        <w:jc w:val="left"/>
        <w:rPr>
          <w:rFonts w:ascii="&amp;quot" w:hAnsi="&amp;quot"/>
          <w:sz w:val="24"/>
          <w:szCs w:val="24"/>
          <w:u w:val="single"/>
        </w:rPr>
      </w:pPr>
      <w:r w:rsidRPr="00633789">
        <w:rPr>
          <w:rFonts w:ascii="&amp;quot" w:hAnsi="&amp;quot"/>
          <w:sz w:val="24"/>
          <w:szCs w:val="24"/>
          <w:u w:val="single"/>
        </w:rPr>
        <w:t>(v) The building is an agricultural structure; or</w:t>
      </w:r>
    </w:p>
    <w:p w14:paraId="5B71568B" w14:textId="77777777" w:rsidR="004B0C29" w:rsidRPr="001B01D0" w:rsidRDefault="00633789" w:rsidP="004B0C29">
      <w:pPr>
        <w:spacing w:after="0" w:line="240" w:lineRule="auto"/>
        <w:ind w:left="720" w:firstLine="0"/>
        <w:jc w:val="left"/>
        <w:rPr>
          <w:rFonts w:ascii="&amp;quot" w:hAnsi="&amp;quot"/>
          <w:sz w:val="24"/>
          <w:szCs w:val="24"/>
          <w:u w:val="single"/>
        </w:rPr>
      </w:pPr>
      <w:r w:rsidRPr="00633789">
        <w:rPr>
          <w:rFonts w:ascii="&amp;quot" w:hAnsi="&amp;quot"/>
          <w:sz w:val="24"/>
          <w:szCs w:val="24"/>
          <w:u w:val="single"/>
        </w:rPr>
        <w:t xml:space="preserve">(vi) The building meets at least one of the following conditions of financial hardship: </w:t>
      </w:r>
    </w:p>
    <w:p w14:paraId="26120118" w14:textId="77777777" w:rsidR="004B0C29" w:rsidRPr="001B01D0" w:rsidRDefault="00633789" w:rsidP="004B0C29">
      <w:pPr>
        <w:spacing w:after="0" w:line="240" w:lineRule="auto"/>
        <w:ind w:left="1440" w:firstLine="0"/>
        <w:jc w:val="left"/>
        <w:rPr>
          <w:rFonts w:ascii="&amp;quot" w:hAnsi="&amp;quot"/>
          <w:sz w:val="24"/>
          <w:szCs w:val="24"/>
          <w:u w:val="single"/>
        </w:rPr>
      </w:pPr>
      <w:r w:rsidRPr="00633789">
        <w:rPr>
          <w:rFonts w:ascii="&amp;quot" w:hAnsi="&amp;quot"/>
          <w:sz w:val="24"/>
          <w:szCs w:val="24"/>
          <w:u w:val="single"/>
        </w:rPr>
        <w:t xml:space="preserve">(A) The building had arrears of property taxes or water or wastewater charges that resulted in the building's inclusion, within the prior two years, on a city's or county's annual tax lien sale list; </w:t>
      </w:r>
    </w:p>
    <w:p w14:paraId="1BC0AD18" w14:textId="77777777" w:rsidR="004B0C29" w:rsidRPr="001B01D0" w:rsidRDefault="00633789" w:rsidP="004B0C29">
      <w:pPr>
        <w:spacing w:after="0" w:line="240" w:lineRule="auto"/>
        <w:ind w:left="1440" w:firstLine="0"/>
        <w:jc w:val="left"/>
        <w:rPr>
          <w:rFonts w:ascii="&amp;quot" w:hAnsi="&amp;quot"/>
          <w:sz w:val="24"/>
          <w:szCs w:val="24"/>
          <w:u w:val="single"/>
        </w:rPr>
      </w:pPr>
      <w:r w:rsidRPr="00633789">
        <w:rPr>
          <w:rFonts w:ascii="&amp;quot" w:hAnsi="&amp;quot"/>
          <w:sz w:val="24"/>
          <w:szCs w:val="24"/>
          <w:u w:val="single"/>
        </w:rPr>
        <w:t xml:space="preserve">(B) the building has a court appointed receiver in control of the asset due to financial distress; </w:t>
      </w:r>
    </w:p>
    <w:p w14:paraId="49BD2E1C" w14:textId="77777777" w:rsidR="004B0C29" w:rsidRPr="001B01D0" w:rsidRDefault="00633789" w:rsidP="004B0C29">
      <w:pPr>
        <w:spacing w:after="0" w:line="240" w:lineRule="auto"/>
        <w:ind w:left="1440" w:firstLine="0"/>
        <w:jc w:val="left"/>
        <w:rPr>
          <w:rFonts w:ascii="&amp;quot" w:hAnsi="&amp;quot"/>
          <w:sz w:val="24"/>
          <w:szCs w:val="24"/>
          <w:u w:val="single"/>
        </w:rPr>
      </w:pPr>
      <w:r w:rsidRPr="00633789">
        <w:rPr>
          <w:rFonts w:ascii="&amp;quot" w:hAnsi="&amp;quot"/>
          <w:sz w:val="24"/>
          <w:szCs w:val="24"/>
          <w:u w:val="single"/>
        </w:rPr>
        <w:t xml:space="preserve">(C) the building is owned by a financial institution through default by a borrower; (D) the building has been acquired by a deed in lieu of foreclosure within the previous twenty-four months; </w:t>
      </w:r>
    </w:p>
    <w:p w14:paraId="799ED171" w14:textId="77777777" w:rsidR="004B0C29" w:rsidRPr="001B01D0" w:rsidRDefault="00633789" w:rsidP="004B0C29">
      <w:pPr>
        <w:spacing w:after="0" w:line="240" w:lineRule="auto"/>
        <w:ind w:left="1440" w:firstLine="0"/>
        <w:jc w:val="left"/>
        <w:rPr>
          <w:rFonts w:ascii="&amp;quot" w:hAnsi="&amp;quot"/>
          <w:sz w:val="24"/>
          <w:szCs w:val="24"/>
          <w:u w:val="single"/>
        </w:rPr>
      </w:pPr>
      <w:r w:rsidRPr="00633789">
        <w:rPr>
          <w:rFonts w:ascii="&amp;quot" w:hAnsi="&amp;quot"/>
          <w:sz w:val="24"/>
          <w:szCs w:val="24"/>
          <w:u w:val="single"/>
        </w:rPr>
        <w:t xml:space="preserve">(E) the building has a senior mortgage subject to a notice of default; or </w:t>
      </w:r>
    </w:p>
    <w:p w14:paraId="5CD5E41E" w14:textId="77777777" w:rsidR="00633789" w:rsidRPr="00633789" w:rsidRDefault="00633789" w:rsidP="004B0C29">
      <w:pPr>
        <w:spacing w:after="0" w:line="240" w:lineRule="auto"/>
        <w:ind w:left="1440" w:firstLine="0"/>
        <w:jc w:val="left"/>
        <w:rPr>
          <w:rFonts w:ascii="&amp;quot" w:hAnsi="&amp;quot"/>
          <w:sz w:val="24"/>
          <w:szCs w:val="24"/>
          <w:u w:val="single"/>
        </w:rPr>
      </w:pPr>
      <w:r w:rsidRPr="00633789">
        <w:rPr>
          <w:rFonts w:ascii="&amp;quot" w:hAnsi="&amp;quot"/>
          <w:sz w:val="24"/>
          <w:szCs w:val="24"/>
          <w:u w:val="single"/>
        </w:rPr>
        <w:t>(F) other conditions of financial hardship identified by the department by rule.</w:t>
      </w:r>
    </w:p>
    <w:p w14:paraId="149D4DB5" w14:textId="77777777" w:rsidR="00633789" w:rsidRPr="001B01D0" w:rsidRDefault="00633789" w:rsidP="00633789">
      <w:pPr>
        <w:spacing w:after="74"/>
        <w:ind w:left="720" w:right="13" w:firstLine="0"/>
        <w:rPr>
          <w:u w:val="single"/>
        </w:rPr>
      </w:pPr>
    </w:p>
    <w:p w14:paraId="71BAE76D" w14:textId="38A09926" w:rsidR="009F5C85" w:rsidRPr="001B01D0" w:rsidRDefault="009F5C85" w:rsidP="001B01D0">
      <w:pPr>
        <w:spacing w:after="74"/>
        <w:ind w:right="13" w:firstLine="0"/>
        <w:rPr>
          <w:u w:val="single"/>
        </w:rPr>
      </w:pPr>
      <w:r w:rsidRPr="001B01D0">
        <w:rPr>
          <w:b/>
          <w:u w:val="single"/>
        </w:rPr>
        <w:t>4.4.</w:t>
      </w:r>
      <w:r w:rsidR="00ED3265">
        <w:rPr>
          <w:b/>
          <w:u w:val="single"/>
        </w:rPr>
        <w:t>1.</w:t>
      </w:r>
      <w:r w:rsidRPr="001B01D0">
        <w:rPr>
          <w:b/>
          <w:u w:val="single"/>
        </w:rPr>
        <w:t>?.1  Energy Management Plan</w:t>
      </w:r>
      <w:r w:rsidRPr="001B01D0">
        <w:rPr>
          <w:u w:val="single"/>
        </w:rPr>
        <w:t xml:space="preserve"> </w:t>
      </w:r>
      <w:r w:rsidRPr="001B01D0">
        <w:rPr>
          <w:b/>
          <w:u w:val="single"/>
        </w:rPr>
        <w:t>Reporting Requirements:</w:t>
      </w:r>
      <w:r w:rsidRPr="001B01D0">
        <w:rPr>
          <w:u w:val="single"/>
        </w:rPr>
        <w:t xml:space="preserve"> The building owner shall provide a copy of the Energy Management Plan </w:t>
      </w:r>
      <w:r w:rsidR="00633789" w:rsidRPr="001B01D0">
        <w:rPr>
          <w:u w:val="single"/>
        </w:rPr>
        <w:t xml:space="preserve">as specified in section </w:t>
      </w:r>
      <w:r w:rsidR="001B01D0" w:rsidRPr="001B01D0">
        <w:rPr>
          <w:u w:val="single"/>
        </w:rPr>
        <w:t xml:space="preserve">5.1.2 to the </w:t>
      </w:r>
      <w:r w:rsidR="001B01D0" w:rsidRPr="00ED3265">
        <w:rPr>
          <w:i/>
          <w:u w:val="single"/>
        </w:rPr>
        <w:t>AHJ</w:t>
      </w:r>
      <w:r w:rsidR="001B01D0">
        <w:rPr>
          <w:u w:val="single"/>
        </w:rPr>
        <w:t>.</w:t>
      </w:r>
    </w:p>
    <w:p w14:paraId="2A4D3629" w14:textId="77777777" w:rsidR="00903DA8" w:rsidRPr="001C1889" w:rsidRDefault="00903DA8" w:rsidP="001C1889">
      <w:pPr>
        <w:ind w:left="134" w:firstLine="0"/>
      </w:pPr>
    </w:p>
    <w:p w14:paraId="6F239C95" w14:textId="77777777" w:rsidR="001C1889" w:rsidRDefault="001C1889" w:rsidP="00232550">
      <w:pPr>
        <w:pStyle w:val="Heading3"/>
        <w:spacing w:after="110"/>
        <w:ind w:left="-5" w:right="0"/>
      </w:pPr>
    </w:p>
    <w:p w14:paraId="443AEA3A" w14:textId="77777777" w:rsidR="00903DA8" w:rsidRDefault="00903DA8">
      <w:pPr>
        <w:spacing w:after="160" w:line="259" w:lineRule="auto"/>
        <w:ind w:firstLine="0"/>
        <w:jc w:val="left"/>
        <w:rPr>
          <w:rFonts w:ascii="Arial" w:eastAsia="Arial" w:hAnsi="Arial" w:cs="Arial"/>
          <w:b/>
        </w:rPr>
      </w:pPr>
      <w:r>
        <w:br w:type="page"/>
      </w:r>
    </w:p>
    <w:p w14:paraId="233894B4" w14:textId="77777777" w:rsidR="00232550" w:rsidRDefault="00232550" w:rsidP="00232550">
      <w:pPr>
        <w:pStyle w:val="Heading3"/>
        <w:spacing w:after="110"/>
        <w:ind w:left="-5" w:right="0"/>
      </w:pPr>
      <w:r>
        <w:lastRenderedPageBreak/>
        <w:t>5. ENERGY MANAGEMENT PLAN</w:t>
      </w:r>
      <w:bookmarkEnd w:id="1"/>
    </w:p>
    <w:p w14:paraId="4CAD8ADE" w14:textId="77777777" w:rsidR="00232550" w:rsidRDefault="00232550" w:rsidP="00232550">
      <w:pPr>
        <w:pStyle w:val="Heading5"/>
        <w:spacing w:after="69"/>
        <w:ind w:left="-5" w:right="0"/>
      </w:pPr>
      <w:r>
        <w:t>5.1 Establish the Energy Management Plan</w:t>
      </w:r>
    </w:p>
    <w:p w14:paraId="38B53972" w14:textId="77777777" w:rsidR="00232550" w:rsidRDefault="00232550" w:rsidP="00232550">
      <w:pPr>
        <w:spacing w:after="106"/>
        <w:ind w:left="-15" w:right="13"/>
      </w:pPr>
      <w:r>
        <w:rPr>
          <w:b/>
        </w:rPr>
        <w:t xml:space="preserve">5.1.1 </w:t>
      </w:r>
      <w:r>
        <w:t xml:space="preserve">The </w:t>
      </w:r>
      <w:r>
        <w:rPr>
          <w:i/>
        </w:rPr>
        <w:t>building owner</w:t>
      </w:r>
      <w:r>
        <w:t xml:space="preserve"> shall designate an </w:t>
      </w:r>
      <w:r>
        <w:rPr>
          <w:i/>
        </w:rPr>
        <w:t>energy manager</w:t>
      </w:r>
      <w:r>
        <w:t xml:space="preserve"> (</w:t>
      </w:r>
      <w:r>
        <w:rPr>
          <w:i/>
        </w:rPr>
        <w:t>EM</w:t>
      </w:r>
      <w:r>
        <w:t xml:space="preserve">) to develop and </w:t>
      </w:r>
      <w:r>
        <w:rPr>
          <w:i/>
        </w:rPr>
        <w:t>maintain</w:t>
      </w:r>
      <w:r>
        <w:t xml:space="preserve"> an energy management plan for the </w:t>
      </w:r>
      <w:r>
        <w:rPr>
          <w:i/>
        </w:rPr>
        <w:t>building</w:t>
      </w:r>
      <w:r>
        <w:t>.</w:t>
      </w:r>
    </w:p>
    <w:p w14:paraId="1B69993E" w14:textId="77777777" w:rsidR="00232550" w:rsidRDefault="00232550" w:rsidP="00232550">
      <w:pPr>
        <w:spacing w:after="112"/>
        <w:ind w:left="504" w:right="13" w:hanging="360"/>
      </w:pPr>
      <w:r>
        <w:rPr>
          <w:b/>
        </w:rPr>
        <w:t xml:space="preserve">Exception to 5.1.1: </w:t>
      </w:r>
      <w:r>
        <w:rPr>
          <w:i/>
        </w:rPr>
        <w:t>Buildings</w:t>
      </w:r>
      <w:r>
        <w:t xml:space="preserve"> smaller than 5000 ft</w:t>
      </w:r>
      <w:r>
        <w:rPr>
          <w:sz w:val="25"/>
          <w:vertAlign w:val="superscript"/>
        </w:rPr>
        <w:t xml:space="preserve">2 </w:t>
      </w:r>
      <w:r>
        <w:t>(465 m</w:t>
      </w:r>
      <w:r>
        <w:rPr>
          <w:sz w:val="25"/>
          <w:vertAlign w:val="superscript"/>
        </w:rPr>
        <w:t>2</w:t>
      </w:r>
      <w:r>
        <w:t xml:space="preserve">) are not required to have an </w:t>
      </w:r>
      <w:r>
        <w:rPr>
          <w:i/>
        </w:rPr>
        <w:t>EM</w:t>
      </w:r>
      <w:r>
        <w:t xml:space="preserve"> or an energy management plan. </w:t>
      </w:r>
    </w:p>
    <w:p w14:paraId="3D28964C" w14:textId="77777777" w:rsidR="00232550" w:rsidRDefault="00232550" w:rsidP="00232550">
      <w:pPr>
        <w:spacing w:after="73"/>
        <w:ind w:left="-15" w:right="13"/>
      </w:pPr>
      <w:r>
        <w:rPr>
          <w:b/>
        </w:rPr>
        <w:t xml:space="preserve">5.1.2 </w:t>
      </w:r>
      <w:r>
        <w:t>The energy management plan shall incorporate the following.</w:t>
      </w:r>
    </w:p>
    <w:p w14:paraId="591AB2FB" w14:textId="536C5C85" w:rsidR="00232550" w:rsidRDefault="00232550" w:rsidP="00232550">
      <w:pPr>
        <w:spacing w:after="74"/>
        <w:ind w:left="-15" w:right="13" w:firstLine="288"/>
      </w:pPr>
      <w:r>
        <w:rPr>
          <w:b/>
        </w:rPr>
        <w:t xml:space="preserve">5.1.2.1 </w:t>
      </w:r>
      <w:r>
        <w:t xml:space="preserve">An </w:t>
      </w:r>
      <w:r>
        <w:rPr>
          <w:i/>
        </w:rPr>
        <w:t>energy accounting system</w:t>
      </w:r>
      <w:r>
        <w:t xml:space="preserve"> to record the energy use in accordance with Section 5.2.</w:t>
      </w:r>
      <w:r w:rsidR="004036B4">
        <w:t xml:space="preserve"> </w:t>
      </w:r>
    </w:p>
    <w:p w14:paraId="70512B0F" w14:textId="77777777" w:rsidR="00232550" w:rsidRDefault="00232550" w:rsidP="00232550">
      <w:pPr>
        <w:spacing w:after="74"/>
        <w:ind w:left="-15" w:right="13" w:firstLine="288"/>
      </w:pPr>
      <w:r>
        <w:rPr>
          <w:b/>
        </w:rPr>
        <w:t xml:space="preserve">5.1.2.2 </w:t>
      </w:r>
      <w:r>
        <w:t xml:space="preserve">In the initial year of compliance, the </w:t>
      </w:r>
      <w:r>
        <w:rPr>
          <w:i/>
        </w:rPr>
        <w:t>building</w:t>
      </w:r>
      <w:r>
        <w:t xml:space="preserve">’s </w:t>
      </w:r>
      <w:r w:rsidR="004B30A5" w:rsidRPr="004036B4">
        <w:rPr>
          <w:i/>
          <w:color w:val="0070C0"/>
          <w:u w:val="single"/>
        </w:rPr>
        <w:t>weather normalized energy use intensity</w:t>
      </w:r>
      <w:r w:rsidR="004B30A5">
        <w:rPr>
          <w:color w:val="0070C0"/>
          <w:u w:val="single"/>
        </w:rPr>
        <w:t xml:space="preserve"> </w:t>
      </w:r>
      <w:r w:rsidR="004B30A5" w:rsidRPr="00B25A0E">
        <w:rPr>
          <w:i/>
          <w:color w:val="0070C0"/>
          <w:u w:val="single"/>
        </w:rPr>
        <w:t>(WNEUI)</w:t>
      </w:r>
      <w:r w:rsidR="004B30A5">
        <w:rPr>
          <w:color w:val="0070C0"/>
          <w:u w:val="single"/>
        </w:rPr>
        <w:t xml:space="preserve"> and</w:t>
      </w:r>
      <w:r w:rsidR="004B30A5" w:rsidRPr="00C57B60">
        <w:rPr>
          <w:color w:val="0070C0"/>
        </w:rPr>
        <w:t xml:space="preserve"> </w:t>
      </w:r>
      <w:r>
        <w:rPr>
          <w:i/>
        </w:rPr>
        <w:t>energy-use intensity</w:t>
      </w:r>
      <w:r>
        <w:t xml:space="preserve"> (</w:t>
      </w:r>
      <w:r>
        <w:rPr>
          <w:i/>
        </w:rPr>
        <w:t>EUI</w:t>
      </w:r>
      <w:r>
        <w:t>)</w:t>
      </w:r>
      <w:r w:rsidR="004B30A5">
        <w:t>.</w:t>
      </w:r>
      <w:r w:rsidR="00C57B60">
        <w:t xml:space="preserve"> </w:t>
      </w:r>
    </w:p>
    <w:p w14:paraId="74EDE385" w14:textId="77777777" w:rsidR="00232550" w:rsidRPr="00232550" w:rsidRDefault="00232550" w:rsidP="00232550">
      <w:pPr>
        <w:ind w:left="134" w:firstLine="0"/>
      </w:pPr>
      <w:r w:rsidRPr="00232550">
        <w:rPr>
          <w:b/>
        </w:rPr>
        <w:t>5.1.2.3</w:t>
      </w:r>
      <w:r w:rsidRPr="00232550">
        <w:t xml:space="preserve"> Annual updates of the net energy use</w:t>
      </w:r>
      <w:r w:rsidR="004036B4">
        <w:t xml:space="preserve">, </w:t>
      </w:r>
      <w:r w:rsidR="004036B4" w:rsidRPr="00B25A0E">
        <w:rPr>
          <w:color w:val="0070C0"/>
          <w:u w:val="single"/>
        </w:rPr>
        <w:t>WNEUI</w:t>
      </w:r>
      <w:r w:rsidRPr="00232550">
        <w:t xml:space="preserve"> and </w:t>
      </w:r>
      <w:r w:rsidRPr="00B25A0E">
        <w:rPr>
          <w:i/>
        </w:rPr>
        <w:t>EUI</w:t>
      </w:r>
      <w:r w:rsidRPr="00232550">
        <w:t>.</w:t>
      </w:r>
    </w:p>
    <w:p w14:paraId="653E55EF" w14:textId="77777777" w:rsidR="00232550" w:rsidRPr="00232550" w:rsidRDefault="00232550" w:rsidP="00232550">
      <w:pPr>
        <w:ind w:left="134" w:firstLine="0"/>
      </w:pPr>
      <w:r w:rsidRPr="00232550">
        <w:rPr>
          <w:b/>
        </w:rPr>
        <w:t>5.1.2.4</w:t>
      </w:r>
      <w:r w:rsidRPr="00232550">
        <w:t xml:space="preserve"> Annual comparison of the net </w:t>
      </w:r>
      <w:r w:rsidR="004036B4" w:rsidRPr="00B25A0E">
        <w:rPr>
          <w:color w:val="0070C0"/>
          <w:u w:val="single"/>
        </w:rPr>
        <w:t>WNEUI</w:t>
      </w:r>
      <w:r w:rsidR="004036B4">
        <w:t xml:space="preserve"> and </w:t>
      </w:r>
      <w:r w:rsidRPr="00B25A0E">
        <w:rPr>
          <w:i/>
        </w:rPr>
        <w:t>EUI</w:t>
      </w:r>
      <w:r w:rsidRPr="00232550">
        <w:t xml:space="preserve"> to the energy target.</w:t>
      </w:r>
    </w:p>
    <w:p w14:paraId="23738BF7" w14:textId="6EEFA447" w:rsidR="00232550" w:rsidRDefault="00232550" w:rsidP="00232550">
      <w:pPr>
        <w:spacing w:after="74"/>
        <w:ind w:left="-15" w:right="13" w:firstLine="288"/>
      </w:pPr>
      <w:r>
        <w:rPr>
          <w:b/>
        </w:rPr>
        <w:t xml:space="preserve">5.1.2.5 </w:t>
      </w:r>
      <w:r>
        <w:t xml:space="preserve">Documentation of original, current, and changes in number of occupants, weekly operating hours, or time of day scheduled for occupancy, production rates, and energy using equipment that would have caused change in the measured </w:t>
      </w:r>
      <w:r w:rsidR="004036B4" w:rsidRPr="00B25A0E">
        <w:rPr>
          <w:i/>
          <w:color w:val="0070C0"/>
          <w:u w:val="single"/>
        </w:rPr>
        <w:t>WNEUI</w:t>
      </w:r>
      <w:r w:rsidR="004036B4" w:rsidRPr="00B25A0E">
        <w:rPr>
          <w:color w:val="0070C0"/>
          <w:u w:val="single"/>
        </w:rPr>
        <w:t xml:space="preserve"> and</w:t>
      </w:r>
      <w:r w:rsidR="004036B4" w:rsidRPr="00B25A0E">
        <w:rPr>
          <w:color w:val="0070C0"/>
        </w:rPr>
        <w:t xml:space="preserve"> </w:t>
      </w:r>
      <w:r>
        <w:rPr>
          <w:i/>
        </w:rPr>
        <w:t>EUI</w:t>
      </w:r>
      <w:r>
        <w:t>.</w:t>
      </w:r>
    </w:p>
    <w:p w14:paraId="1E1266C6" w14:textId="77777777" w:rsidR="00705413" w:rsidRDefault="00705413" w:rsidP="00232550">
      <w:pPr>
        <w:spacing w:after="74"/>
        <w:ind w:left="-15" w:right="13" w:firstLine="288"/>
        <w:rPr>
          <w:b/>
          <w:color w:val="0070C0"/>
          <w:u w:val="single"/>
        </w:rPr>
      </w:pPr>
    </w:p>
    <w:p w14:paraId="13734D66" w14:textId="76B802FD" w:rsidR="008B7262" w:rsidRPr="008B7262" w:rsidRDefault="00705413" w:rsidP="00232550">
      <w:pPr>
        <w:spacing w:after="74"/>
        <w:ind w:left="-15" w:right="13" w:firstLine="288"/>
        <w:rPr>
          <w:b/>
          <w:color w:val="0070C0"/>
          <w:u w:val="single"/>
        </w:rPr>
      </w:pPr>
      <w:r w:rsidRPr="008B7262">
        <w:rPr>
          <w:b/>
          <w:color w:val="0070C0"/>
          <w:u w:val="single"/>
        </w:rPr>
        <w:t xml:space="preserve">NEW Section: Operations and Maintenance Plan and Implementation </w:t>
      </w:r>
      <w:r w:rsidR="003140E9" w:rsidRPr="008B7262">
        <w:rPr>
          <w:b/>
          <w:color w:val="0070C0"/>
          <w:u w:val="single"/>
        </w:rPr>
        <w:t>Documentation</w:t>
      </w:r>
      <w:r w:rsidR="008B7262">
        <w:rPr>
          <w:b/>
          <w:color w:val="0070C0"/>
          <w:u w:val="single"/>
        </w:rPr>
        <w:t xml:space="preserve">. </w:t>
      </w:r>
      <w:r w:rsidR="008B7262" w:rsidRPr="008B7262">
        <w:rPr>
          <w:color w:val="0070C0"/>
          <w:u w:val="single"/>
        </w:rPr>
        <w:t xml:space="preserve">The energy management plan </w:t>
      </w:r>
      <w:r w:rsidR="00DC15DA">
        <w:rPr>
          <w:color w:val="0070C0"/>
          <w:u w:val="single"/>
        </w:rPr>
        <w:t xml:space="preserve">documentation </w:t>
      </w:r>
      <w:r w:rsidR="008B7262" w:rsidRPr="008B7262">
        <w:rPr>
          <w:color w:val="0070C0"/>
          <w:u w:val="single"/>
        </w:rPr>
        <w:t>shall include</w:t>
      </w:r>
      <w:r w:rsidR="008B7262" w:rsidRPr="008B7262">
        <w:rPr>
          <w:b/>
          <w:color w:val="0070C0"/>
          <w:u w:val="single"/>
        </w:rPr>
        <w:t>:</w:t>
      </w:r>
    </w:p>
    <w:p w14:paraId="10F17E2C" w14:textId="1F70DF1A" w:rsidR="00705413" w:rsidRPr="008B7262" w:rsidRDefault="008B7262" w:rsidP="00232550">
      <w:pPr>
        <w:spacing w:after="74"/>
        <w:ind w:left="-15" w:right="13" w:firstLine="288"/>
        <w:rPr>
          <w:b/>
          <w:color w:val="0070C0"/>
          <w:u w:val="single"/>
        </w:rPr>
      </w:pPr>
      <w:r w:rsidRPr="008B7262">
        <w:rPr>
          <w:b/>
          <w:color w:val="0070C0"/>
          <w:u w:val="single"/>
        </w:rPr>
        <w:t xml:space="preserve">(a) </w:t>
      </w:r>
      <w:r w:rsidR="00705413" w:rsidRPr="008B7262">
        <w:rPr>
          <w:b/>
          <w:color w:val="0070C0"/>
          <w:u w:val="single"/>
        </w:rPr>
        <w:t xml:space="preserve"> </w:t>
      </w:r>
      <w:r w:rsidRPr="008B7262">
        <w:rPr>
          <w:color w:val="0070C0"/>
          <w:u w:val="single"/>
        </w:rPr>
        <w:t>An operations and maintenance (O&amp;M) program as defined in Section 6</w:t>
      </w:r>
    </w:p>
    <w:p w14:paraId="6AB62D13" w14:textId="48EDB405" w:rsidR="00705413" w:rsidRPr="008B7262" w:rsidRDefault="008B7262" w:rsidP="00232550">
      <w:pPr>
        <w:spacing w:after="74"/>
        <w:ind w:left="-15" w:right="13" w:firstLine="288"/>
        <w:rPr>
          <w:color w:val="0070C0"/>
          <w:u w:val="single"/>
        </w:rPr>
      </w:pPr>
      <w:r w:rsidRPr="008B7262">
        <w:rPr>
          <w:color w:val="0070C0"/>
          <w:u w:val="single"/>
        </w:rPr>
        <w:t xml:space="preserve">(b) An O&amp;M implementation plan as specified in Normative Annex L. </w:t>
      </w:r>
    </w:p>
    <w:p w14:paraId="2A1060C4" w14:textId="4F0845F8" w:rsidR="00705413" w:rsidRPr="00A96D1E" w:rsidRDefault="008B7262" w:rsidP="00A96D1E">
      <w:pPr>
        <w:spacing w:after="74"/>
        <w:ind w:right="13" w:firstLine="273"/>
        <w:rPr>
          <w:color w:val="0070C0"/>
          <w:u w:val="single"/>
        </w:rPr>
      </w:pPr>
      <w:r w:rsidRPr="008B7262">
        <w:rPr>
          <w:color w:val="0070C0"/>
          <w:u w:val="single"/>
        </w:rPr>
        <w:t xml:space="preserve">(c) Implementation </w:t>
      </w:r>
      <w:r w:rsidR="00A96D1E">
        <w:rPr>
          <w:color w:val="0070C0"/>
          <w:u w:val="single"/>
        </w:rPr>
        <w:t>d</w:t>
      </w:r>
      <w:r w:rsidRPr="008B7262">
        <w:rPr>
          <w:color w:val="0070C0"/>
          <w:u w:val="single"/>
        </w:rPr>
        <w:t>ocumentation</w:t>
      </w:r>
      <w:r w:rsidR="00DC15DA">
        <w:rPr>
          <w:color w:val="0070C0"/>
          <w:u w:val="single"/>
        </w:rPr>
        <w:t xml:space="preserve"> as specified in</w:t>
      </w:r>
      <w:r w:rsidRPr="008B7262">
        <w:rPr>
          <w:color w:val="0070C0"/>
          <w:u w:val="single"/>
        </w:rPr>
        <w:t xml:space="preserve"> </w:t>
      </w:r>
      <w:r w:rsidR="00705413" w:rsidRPr="008B7262">
        <w:rPr>
          <w:color w:val="0070C0"/>
          <w:u w:val="single"/>
        </w:rPr>
        <w:t xml:space="preserve">L2.2.5 Documentation.     </w:t>
      </w:r>
    </w:p>
    <w:p w14:paraId="785D91C8" w14:textId="77777777" w:rsidR="00705413" w:rsidRDefault="00705413" w:rsidP="00232550">
      <w:pPr>
        <w:spacing w:after="74"/>
        <w:ind w:left="-15" w:right="13" w:firstLine="288"/>
        <w:rPr>
          <w:b/>
        </w:rPr>
      </w:pPr>
    </w:p>
    <w:p w14:paraId="22CD49EA" w14:textId="515D0389" w:rsidR="00232550" w:rsidRDefault="00232550" w:rsidP="00232550">
      <w:pPr>
        <w:spacing w:after="74"/>
        <w:ind w:left="-15" w:right="13" w:firstLine="288"/>
      </w:pPr>
      <w:r>
        <w:rPr>
          <w:b/>
        </w:rPr>
        <w:t xml:space="preserve">5.1.2.6 </w:t>
      </w:r>
      <w:r>
        <w:t xml:space="preserve">Energy audit reports and recommended </w:t>
      </w:r>
      <w:r>
        <w:rPr>
          <w:i/>
        </w:rPr>
        <w:t>energy efficiency measures</w:t>
      </w:r>
      <w:r>
        <w:t xml:space="preserve"> (</w:t>
      </w:r>
      <w:r>
        <w:rPr>
          <w:i/>
        </w:rPr>
        <w:t>EEMs</w:t>
      </w:r>
      <w:r>
        <w:t>). (Refer to Section 8.)</w:t>
      </w:r>
    </w:p>
    <w:p w14:paraId="38995EEA" w14:textId="77777777" w:rsidR="00232550" w:rsidRDefault="00232550" w:rsidP="00232550">
      <w:pPr>
        <w:spacing w:after="153"/>
        <w:ind w:left="-15" w:right="13" w:firstLine="288"/>
      </w:pPr>
      <w:r>
        <w:rPr>
          <w:b/>
        </w:rPr>
        <w:t xml:space="preserve">5.1.2.7 </w:t>
      </w:r>
      <w:r>
        <w:t xml:space="preserve">A list of </w:t>
      </w:r>
      <w:r>
        <w:rPr>
          <w:i/>
        </w:rPr>
        <w:t>EEMs</w:t>
      </w:r>
      <w:r>
        <w:t xml:space="preserve"> that have been implemented and dates of implementation, including the following:</w:t>
      </w:r>
    </w:p>
    <w:p w14:paraId="6EDB06BB" w14:textId="77777777" w:rsidR="00232550" w:rsidRDefault="00232550" w:rsidP="00232550">
      <w:pPr>
        <w:numPr>
          <w:ilvl w:val="0"/>
          <w:numId w:val="1"/>
        </w:numPr>
        <w:ind w:right="13" w:hanging="288"/>
      </w:pPr>
      <w:r>
        <w:t xml:space="preserve">An operations and maintenance (O&amp;M) program as defined in Section 6 for the </w:t>
      </w:r>
      <w:r>
        <w:rPr>
          <w:i/>
        </w:rPr>
        <w:t>EEMs</w:t>
      </w:r>
    </w:p>
    <w:p w14:paraId="639E17F6" w14:textId="77777777" w:rsidR="00232550" w:rsidRDefault="00232550" w:rsidP="00232550">
      <w:pPr>
        <w:numPr>
          <w:ilvl w:val="0"/>
          <w:numId w:val="1"/>
        </w:numPr>
        <w:spacing w:after="10"/>
        <w:ind w:right="13" w:hanging="288"/>
      </w:pPr>
      <w:r>
        <w:t xml:space="preserve">An implementation plan for </w:t>
      </w:r>
      <w:r>
        <w:rPr>
          <w:i/>
        </w:rPr>
        <w:t>EEMs</w:t>
      </w:r>
      <w:r>
        <w:t xml:space="preserve">, including </w:t>
      </w:r>
      <w:r>
        <w:rPr>
          <w:i/>
        </w:rPr>
        <w:t>EEM</w:t>
      </w:r>
      <w:r>
        <w:t xml:space="preserve"> commissioning</w:t>
      </w:r>
    </w:p>
    <w:p w14:paraId="430A2517" w14:textId="77777777" w:rsidR="00232550" w:rsidRDefault="00232550" w:rsidP="00232550">
      <w:pPr>
        <w:numPr>
          <w:ilvl w:val="0"/>
          <w:numId w:val="1"/>
        </w:numPr>
        <w:ind w:right="13" w:hanging="288"/>
      </w:pPr>
      <w:r>
        <w:t xml:space="preserve">Staff training plan for </w:t>
      </w:r>
      <w:r>
        <w:rPr>
          <w:i/>
        </w:rPr>
        <w:t>EEMs</w:t>
      </w:r>
    </w:p>
    <w:p w14:paraId="773DAC55" w14:textId="77777777" w:rsidR="00232550" w:rsidRDefault="00232550" w:rsidP="00232550">
      <w:pPr>
        <w:numPr>
          <w:ilvl w:val="0"/>
          <w:numId w:val="1"/>
        </w:numPr>
        <w:spacing w:after="152"/>
        <w:ind w:right="13" w:hanging="288"/>
      </w:pPr>
      <w:r>
        <w:t xml:space="preserve">Ongoing commissioning plans for the </w:t>
      </w:r>
      <w:r>
        <w:rPr>
          <w:i/>
        </w:rPr>
        <w:t>EEMs</w:t>
      </w:r>
    </w:p>
    <w:p w14:paraId="140935F0" w14:textId="77777777" w:rsidR="00232550" w:rsidRDefault="00232550" w:rsidP="00232550">
      <w:pPr>
        <w:spacing w:after="73"/>
        <w:ind w:left="-15" w:right="13" w:firstLine="288"/>
      </w:pPr>
      <w:r>
        <w:rPr>
          <w:b/>
        </w:rPr>
        <w:t xml:space="preserve">5.1.2.8 </w:t>
      </w:r>
      <w:r>
        <w:t xml:space="preserve">A method to inform occupants about the benefits of efficient energy use, and to instruct them in the use and adjustment of operable windows, </w:t>
      </w:r>
      <w:r>
        <w:rPr>
          <w:i/>
        </w:rPr>
        <w:t>HVAC system</w:t>
      </w:r>
      <w:r>
        <w:t xml:space="preserve"> controls, and lighting system components and controls. This shall include materials (electronic or printed) as appropriate.</w:t>
      </w:r>
    </w:p>
    <w:p w14:paraId="4066F1CF" w14:textId="77777777" w:rsidR="00232550" w:rsidRDefault="00232550" w:rsidP="00232550">
      <w:pPr>
        <w:spacing w:after="74"/>
        <w:ind w:left="-15" w:right="13" w:firstLine="288"/>
      </w:pPr>
      <w:r>
        <w:rPr>
          <w:b/>
        </w:rPr>
        <w:t xml:space="preserve">5.1.2.9 </w:t>
      </w:r>
      <w:r>
        <w:t xml:space="preserve">A training plan for the O&amp;M personnel to operate the </w:t>
      </w:r>
      <w:r>
        <w:rPr>
          <w:i/>
        </w:rPr>
        <w:t>building</w:t>
      </w:r>
      <w:r>
        <w:t xml:space="preserve"> systems to achieve established indoor environmental targets with optimum energy efficiency.</w:t>
      </w:r>
    </w:p>
    <w:p w14:paraId="48575FD3" w14:textId="77777777" w:rsidR="00232550" w:rsidRDefault="00232550" w:rsidP="00232550">
      <w:pPr>
        <w:ind w:left="-15" w:right="13" w:firstLine="288"/>
      </w:pPr>
      <w:r>
        <w:rPr>
          <w:b/>
        </w:rPr>
        <w:t xml:space="preserve">5.1.2.10 </w:t>
      </w:r>
      <w:r>
        <w:t xml:space="preserve">A </w:t>
      </w:r>
      <w:r>
        <w:rPr>
          <w:i/>
        </w:rPr>
        <w:t>capital management plan</w:t>
      </w:r>
      <w:r>
        <w:t xml:space="preserve"> identifying equipment for replacement with energy efficient and ENERGY STAR</w:t>
      </w:r>
      <w:r>
        <w:rPr>
          <w:sz w:val="25"/>
          <w:vertAlign w:val="superscript"/>
        </w:rPr>
        <w:t>®</w:t>
      </w:r>
      <w:r>
        <w:t xml:space="preserve"> rated equipment in case of failure.</w:t>
      </w:r>
    </w:p>
    <w:p w14:paraId="5B040262" w14:textId="77777777" w:rsidR="00232550" w:rsidRDefault="00232550" w:rsidP="00232550">
      <w:pPr>
        <w:spacing w:after="74"/>
        <w:ind w:left="-15" w:right="13" w:firstLine="288"/>
      </w:pPr>
      <w:r>
        <w:rPr>
          <w:b/>
        </w:rPr>
        <w:t xml:space="preserve">5.1.2.11 </w:t>
      </w:r>
      <w:r>
        <w:t xml:space="preserve">A contact list of suppliers and manufacturers’ local representatives of energy efficient equipment, </w:t>
      </w:r>
      <w:r>
        <w:rPr>
          <w:i/>
        </w:rPr>
        <w:t>qualified energy auditors</w:t>
      </w:r>
      <w:r>
        <w:t xml:space="preserve">, the </w:t>
      </w:r>
      <w:r>
        <w:rPr>
          <w:i/>
        </w:rPr>
        <w:t>EM</w:t>
      </w:r>
      <w:r>
        <w:t xml:space="preserve">, and the </w:t>
      </w:r>
      <w:r>
        <w:rPr>
          <w:i/>
        </w:rPr>
        <w:t>building owner</w:t>
      </w:r>
      <w:r>
        <w:t>.</w:t>
      </w:r>
    </w:p>
    <w:p w14:paraId="43DC568C" w14:textId="77777777" w:rsidR="00232550" w:rsidRDefault="00232550" w:rsidP="00232550">
      <w:pPr>
        <w:spacing w:after="73"/>
        <w:ind w:left="-15" w:right="13" w:firstLine="288"/>
      </w:pPr>
      <w:r>
        <w:rPr>
          <w:b/>
        </w:rPr>
        <w:t xml:space="preserve">5.1.2.12 </w:t>
      </w:r>
      <w:r>
        <w:t xml:space="preserve">The current </w:t>
      </w:r>
      <w:r>
        <w:rPr>
          <w:i/>
        </w:rPr>
        <w:t>lighting schedule</w:t>
      </w:r>
      <w:r>
        <w:t xml:space="preserve"> and the calculated </w:t>
      </w:r>
      <w:r>
        <w:rPr>
          <w:i/>
        </w:rPr>
        <w:t>lighting power density</w:t>
      </w:r>
      <w:r>
        <w:t xml:space="preserve"> along with the potential savings from any potential </w:t>
      </w:r>
      <w:r>
        <w:rPr>
          <w:i/>
        </w:rPr>
        <w:t>EEMs</w:t>
      </w:r>
      <w:r>
        <w:t>.</w:t>
      </w:r>
    </w:p>
    <w:p w14:paraId="76F116BE" w14:textId="77777777" w:rsidR="00232550" w:rsidRDefault="00232550" w:rsidP="00232550">
      <w:pPr>
        <w:ind w:left="-15" w:right="13" w:firstLine="288"/>
      </w:pPr>
      <w:r>
        <w:rPr>
          <w:b/>
        </w:rPr>
        <w:t xml:space="preserve">5.1.2.13 </w:t>
      </w:r>
      <w:r>
        <w:t xml:space="preserve">The current lighting satisfaction survey and lighting checklist as described in Appendix D of </w:t>
      </w:r>
      <w:r>
        <w:rPr>
          <w:i/>
        </w:rPr>
        <w:t>Performance Measurement Protocols for Commercial Buildings</w:t>
      </w:r>
      <w:r>
        <w:rPr>
          <w:sz w:val="25"/>
          <w:vertAlign w:val="superscript"/>
        </w:rPr>
        <w:t xml:space="preserve"> 1</w:t>
      </w:r>
      <w:r>
        <w:t>.</w:t>
      </w:r>
    </w:p>
    <w:p w14:paraId="1A0267B8" w14:textId="77777777" w:rsidR="00232550" w:rsidRDefault="00232550" w:rsidP="00232550">
      <w:pPr>
        <w:ind w:left="-15" w:right="13"/>
      </w:pPr>
      <w:r>
        <w:rPr>
          <w:b/>
        </w:rPr>
        <w:t xml:space="preserve">5.1.3 </w:t>
      </w:r>
      <w:r>
        <w:t xml:space="preserve">The </w:t>
      </w:r>
      <w:r>
        <w:rPr>
          <w:i/>
        </w:rPr>
        <w:t>EM</w:t>
      </w:r>
      <w:r>
        <w:t xml:space="preserve"> shall provide a copy of the energy management plan to the </w:t>
      </w:r>
      <w:r>
        <w:rPr>
          <w:i/>
        </w:rPr>
        <w:t>building</w:t>
      </w:r>
      <w:r>
        <w:t xml:space="preserve"> occupants and other stakeholders annually.</w:t>
      </w:r>
    </w:p>
    <w:p w14:paraId="4890D6D4" w14:textId="1521EA82" w:rsidR="006C20E6" w:rsidRPr="00A96D1E" w:rsidRDefault="00232550" w:rsidP="00A96D1E">
      <w:pPr>
        <w:spacing w:after="102"/>
        <w:ind w:left="-15" w:right="13"/>
      </w:pPr>
      <w:r>
        <w:rPr>
          <w:b/>
        </w:rPr>
        <w:t xml:space="preserve">5.1.4 </w:t>
      </w:r>
      <w:r>
        <w:t xml:space="preserve">The </w:t>
      </w:r>
      <w:r>
        <w:rPr>
          <w:i/>
        </w:rPr>
        <w:t>building owner</w:t>
      </w:r>
      <w:r>
        <w:t xml:space="preserve"> shall review and sign the energy management plan annually.</w:t>
      </w:r>
    </w:p>
    <w:p w14:paraId="778E585B" w14:textId="77777777" w:rsidR="006C20E6" w:rsidRDefault="006C20E6" w:rsidP="00232550">
      <w:pPr>
        <w:ind w:left="-15" w:right="13" w:firstLine="0"/>
        <w:rPr>
          <w:b/>
        </w:rPr>
      </w:pPr>
    </w:p>
    <w:p w14:paraId="2AE096FE" w14:textId="77777777" w:rsidR="00232550" w:rsidRDefault="00232550" w:rsidP="00232550">
      <w:pPr>
        <w:ind w:left="-15" w:right="13" w:firstLine="0"/>
      </w:pPr>
      <w:r>
        <w:rPr>
          <w:b/>
        </w:rPr>
        <w:t xml:space="preserve">5.2 Building Energy Monitoring. </w:t>
      </w:r>
      <w:r>
        <w:rPr>
          <w:i/>
        </w:rPr>
        <w:t>Building</w:t>
      </w:r>
      <w:r>
        <w:t xml:space="preserve"> </w:t>
      </w:r>
      <w:r>
        <w:rPr>
          <w:i/>
        </w:rPr>
        <w:t>net energy</w:t>
      </w:r>
      <w:r>
        <w:t xml:space="preserve"> use shall be monitored and recorded in accordance with following sections.</w:t>
      </w:r>
    </w:p>
    <w:p w14:paraId="050D5289" w14:textId="0E95AB78" w:rsidR="00232550" w:rsidRDefault="00232550" w:rsidP="00232550">
      <w:pPr>
        <w:spacing w:after="140"/>
        <w:ind w:left="-15" w:right="13"/>
      </w:pPr>
      <w:r>
        <w:rPr>
          <w:b/>
        </w:rPr>
        <w:t xml:space="preserve">5.2.1 </w:t>
      </w:r>
      <w:r>
        <w:t xml:space="preserve">Provide measured </w:t>
      </w:r>
      <w:r>
        <w:rPr>
          <w:i/>
        </w:rPr>
        <w:t>net energy</w:t>
      </w:r>
      <w:r>
        <w:t xml:space="preserve"> consumption data for each </w:t>
      </w:r>
      <w:r>
        <w:rPr>
          <w:i/>
        </w:rPr>
        <w:t>building</w:t>
      </w:r>
      <w:r>
        <w:t xml:space="preserve">, including all forms of imported and exported energy from at least 12 consecutive months of data monitored in a period </w:t>
      </w:r>
      <w:commentRangeStart w:id="6"/>
      <w:r>
        <w:t xml:space="preserve">not to exceed two years prior </w:t>
      </w:r>
      <w:commentRangeEnd w:id="6"/>
      <w:r w:rsidR="00ED0098">
        <w:rPr>
          <w:rStyle w:val="CommentReference"/>
        </w:rPr>
        <w:commentReference w:id="6"/>
      </w:r>
      <w:r>
        <w:t xml:space="preserve">to the </w:t>
      </w:r>
      <w:r w:rsidRPr="00ED0098">
        <w:rPr>
          <w:strike/>
          <w:color w:val="FF0000"/>
          <w:u w:val="single"/>
        </w:rPr>
        <w:t>efficiency audit</w:t>
      </w:r>
      <w:r w:rsidR="00ED0098" w:rsidRPr="00ED0098">
        <w:rPr>
          <w:color w:val="FF0000"/>
          <w:u w:val="single"/>
        </w:rPr>
        <w:t xml:space="preserve"> </w:t>
      </w:r>
      <w:r w:rsidR="00ED0098" w:rsidRPr="00ED0098">
        <w:rPr>
          <w:color w:val="0070C0"/>
          <w:u w:val="single"/>
        </w:rPr>
        <w:t>reporting deadline specified in section 4.4.</w:t>
      </w:r>
      <w:r w:rsidR="00DC15DA">
        <w:rPr>
          <w:color w:val="0070C0"/>
          <w:u w:val="single"/>
        </w:rPr>
        <w:t>1.</w:t>
      </w:r>
      <w:r w:rsidR="00ED0098" w:rsidRPr="00ED0098">
        <w:rPr>
          <w:color w:val="0070C0"/>
          <w:u w:val="single"/>
        </w:rPr>
        <w:t>*</w:t>
      </w:r>
      <w:r w:rsidRPr="00ED0098">
        <w:rPr>
          <w:color w:val="0070C0"/>
          <w:u w:val="single"/>
        </w:rPr>
        <w:t xml:space="preserve">. </w:t>
      </w:r>
      <w:r>
        <w:t xml:space="preserve">The </w:t>
      </w:r>
      <w:r>
        <w:rPr>
          <w:i/>
        </w:rPr>
        <w:t>net energy</w:t>
      </w:r>
      <w:r>
        <w:t xml:space="preserve"> concept is illustrated in Figure 5-1 and Table 5-1 and is calculated in accordance with Section 5.2.4 as follows:</w:t>
      </w:r>
    </w:p>
    <w:p w14:paraId="6B241773" w14:textId="77777777" w:rsidR="00232550" w:rsidRDefault="00232550" w:rsidP="00232550">
      <w:pPr>
        <w:spacing w:after="135" w:line="254" w:lineRule="auto"/>
        <w:ind w:left="951" w:right="892" w:hanging="10"/>
        <w:jc w:val="center"/>
      </w:pPr>
      <w:r>
        <w:rPr>
          <w:i/>
        </w:rPr>
        <w:t>Net energy</w:t>
      </w:r>
      <w:r>
        <w:t xml:space="preserve"> use = (1a + 1b + 1c + 1d) – (3a + 3b + 3c + 3d + 3e)</w:t>
      </w:r>
    </w:p>
    <w:p w14:paraId="62A49421" w14:textId="77777777" w:rsidR="00232550" w:rsidRDefault="00232550" w:rsidP="00232550">
      <w:pPr>
        <w:ind w:left="-15" w:right="13" w:firstLine="0"/>
      </w:pPr>
      <w:r>
        <w:t xml:space="preserve">where 1a, 1b, 1c, and 1d are metered energy supplies that are used in the </w:t>
      </w:r>
      <w:r>
        <w:rPr>
          <w:i/>
        </w:rPr>
        <w:t>building</w:t>
      </w:r>
      <w:r>
        <w:t xml:space="preserve"> (this includes bulk energy sources), and 3a, 3b, 3c, 3d, and 3e are metered energy excesses that are supplied to another </w:t>
      </w:r>
      <w:r>
        <w:rPr>
          <w:i/>
        </w:rPr>
        <w:t>building</w:t>
      </w:r>
      <w:r>
        <w:t xml:space="preserve"> or grid as useful energy.</w:t>
      </w:r>
    </w:p>
    <w:p w14:paraId="5ED3B1D8" w14:textId="77777777" w:rsidR="00232550" w:rsidRDefault="00232550" w:rsidP="00232550">
      <w:pPr>
        <w:ind w:left="-15" w:right="13"/>
        <w:rPr>
          <w:b/>
        </w:rPr>
      </w:pPr>
    </w:p>
    <w:p w14:paraId="4320B949" w14:textId="162AE502" w:rsidR="00D11A0C" w:rsidRPr="003919D0" w:rsidRDefault="00D11A0C" w:rsidP="00232550">
      <w:pPr>
        <w:ind w:left="-15" w:right="13"/>
        <w:rPr>
          <w:b/>
          <w:u w:val="single"/>
        </w:rPr>
      </w:pPr>
      <w:r w:rsidRPr="003919D0">
        <w:rPr>
          <w:b/>
          <w:u w:val="single"/>
        </w:rPr>
        <w:t xml:space="preserve">5.2.2 </w:t>
      </w:r>
      <w:r w:rsidRPr="00642156">
        <w:rPr>
          <w:b/>
          <w:u w:val="single"/>
        </w:rPr>
        <w:t xml:space="preserve">Procedures for reporting </w:t>
      </w:r>
      <w:r w:rsidR="00642156">
        <w:rPr>
          <w:b/>
          <w:u w:val="single"/>
        </w:rPr>
        <w:t xml:space="preserve">net energy consumption using </w:t>
      </w:r>
      <w:r w:rsidR="00642156" w:rsidRPr="00642156">
        <w:rPr>
          <w:b/>
          <w:u w:val="single"/>
        </w:rPr>
        <w:t>Energy Star Portfolio Manager</w:t>
      </w:r>
      <w:r w:rsidR="00917BB1">
        <w:rPr>
          <w:b/>
          <w:u w:val="single"/>
        </w:rPr>
        <w:t>.</w:t>
      </w:r>
      <w:r w:rsidR="00642156" w:rsidRPr="00642156">
        <w:rPr>
          <w:b/>
          <w:u w:val="single"/>
        </w:rPr>
        <w:t xml:space="preserve"> </w:t>
      </w:r>
      <w:r w:rsidR="003919D0">
        <w:rPr>
          <w:u w:val="single"/>
        </w:rPr>
        <w:t>For buildings with building</w:t>
      </w:r>
      <w:r w:rsidR="003919D0" w:rsidRPr="003919D0">
        <w:rPr>
          <w:u w:val="single"/>
        </w:rPr>
        <w:t xml:space="preserve"> renewable energy generation…..</w:t>
      </w:r>
      <w:r w:rsidR="003919D0">
        <w:rPr>
          <w:b/>
          <w:u w:val="single"/>
        </w:rPr>
        <w:t xml:space="preserve"> </w:t>
      </w:r>
      <w:commentRangeStart w:id="7"/>
      <w:r w:rsidR="003919D0" w:rsidRPr="003919D0">
        <w:rPr>
          <w:u w:val="single"/>
        </w:rPr>
        <w:t>tbd</w:t>
      </w:r>
      <w:commentRangeEnd w:id="7"/>
      <w:r w:rsidR="003919D0">
        <w:rPr>
          <w:rStyle w:val="CommentReference"/>
        </w:rPr>
        <w:commentReference w:id="7"/>
      </w:r>
    </w:p>
    <w:p w14:paraId="5CFEB53E" w14:textId="77777777" w:rsidR="00D11A0C" w:rsidRDefault="00D11A0C" w:rsidP="00232550">
      <w:pPr>
        <w:ind w:left="-15" w:right="13"/>
        <w:rPr>
          <w:b/>
        </w:rPr>
      </w:pPr>
    </w:p>
    <w:p w14:paraId="7A5A8EF8" w14:textId="5970F1F2" w:rsidR="00232550" w:rsidRDefault="00232550" w:rsidP="00232550">
      <w:pPr>
        <w:ind w:left="-15" w:right="13"/>
      </w:pPr>
      <w:r>
        <w:rPr>
          <w:b/>
        </w:rPr>
        <w:t xml:space="preserve">5.2.2 </w:t>
      </w:r>
      <w:r>
        <w:t xml:space="preserve">Energy-use data for each type of energy imported into and exported from the </w:t>
      </w:r>
      <w:r>
        <w:rPr>
          <w:i/>
        </w:rPr>
        <w:t>building</w:t>
      </w:r>
      <w:r>
        <w:t xml:space="preserve"> shall be collected from utility or energy delivery bills (that must include the quantity of energy or fuel delivered) or by monitoring local energy meters (either utility or owner-provided meters). If the exported energy cannot be measured, it shall be estimated using a methodology that is acceptable to the </w:t>
      </w:r>
      <w:r>
        <w:rPr>
          <w:i/>
        </w:rPr>
        <w:t>authority having jurisdiction</w:t>
      </w:r>
      <w:r>
        <w:t xml:space="preserve"> (</w:t>
      </w:r>
      <w:r>
        <w:rPr>
          <w:i/>
        </w:rPr>
        <w:t>AHJ</w:t>
      </w:r>
      <w:r>
        <w:t>).</w:t>
      </w:r>
    </w:p>
    <w:p w14:paraId="7F2BC8AF" w14:textId="77777777" w:rsidR="00232550" w:rsidRDefault="00232550" w:rsidP="00232550">
      <w:pPr>
        <w:ind w:left="-15" w:right="13"/>
      </w:pPr>
    </w:p>
    <w:p w14:paraId="4DBEE6DF" w14:textId="77777777" w:rsidR="00232550" w:rsidRDefault="00232550" w:rsidP="00232550">
      <w:pPr>
        <w:spacing w:after="167"/>
        <w:ind w:left="-15" w:right="13" w:firstLine="288"/>
      </w:pPr>
      <w:r>
        <w:rPr>
          <w:b/>
        </w:rPr>
        <w:t xml:space="preserve">5.2.2.1 </w:t>
      </w:r>
      <w:r>
        <w:t xml:space="preserve">When an energy type such as oil, solid fuels, or biomass is delivered in bulk to the </w:t>
      </w:r>
      <w:r>
        <w:rPr>
          <w:i/>
        </w:rPr>
        <w:t>building</w:t>
      </w:r>
      <w:r>
        <w:t xml:space="preserve"> for storage prior to actual use, the annual energy use for that energy type shall be calculated as follows:</w:t>
      </w:r>
    </w:p>
    <w:p w14:paraId="2FABD83F" w14:textId="77777777" w:rsidR="00232550" w:rsidRDefault="00232550" w:rsidP="00232550">
      <w:pPr>
        <w:spacing w:after="0" w:line="407" w:lineRule="auto"/>
        <w:ind w:left="-15" w:right="727" w:firstLine="1215"/>
      </w:pPr>
      <w:r>
        <w:t xml:space="preserve">Annual energy use = </w:t>
      </w:r>
      <w:r>
        <w:rPr>
          <w:i/>
        </w:rPr>
        <w:t>A</w:t>
      </w:r>
      <w:r>
        <w:t xml:space="preserve"> + </w:t>
      </w:r>
      <w:r>
        <w:rPr>
          <w:i/>
        </w:rPr>
        <w:t>B</w:t>
      </w:r>
      <w:r>
        <w:t xml:space="preserve"> – </w:t>
      </w:r>
      <w:r>
        <w:rPr>
          <w:i/>
        </w:rPr>
        <w:t xml:space="preserve">C </w:t>
      </w:r>
      <w:r>
        <w:t xml:space="preserve">where </w:t>
      </w:r>
    </w:p>
    <w:p w14:paraId="6E93BD8E" w14:textId="77777777" w:rsidR="00232550" w:rsidRDefault="00232550" w:rsidP="00232550">
      <w:pPr>
        <w:numPr>
          <w:ilvl w:val="0"/>
          <w:numId w:val="2"/>
        </w:numPr>
        <w:spacing w:after="124"/>
        <w:ind w:right="13" w:hanging="360"/>
      </w:pPr>
      <w:r>
        <w:t>= measured inventory of the energy type at the beginning of the 12 month period, converted to energy equivalent (Refer to Section 5.2.3.)</w:t>
      </w:r>
    </w:p>
    <w:p w14:paraId="34DBD42B" w14:textId="77777777" w:rsidR="00232550" w:rsidRDefault="00232550" w:rsidP="00232550">
      <w:pPr>
        <w:numPr>
          <w:ilvl w:val="0"/>
          <w:numId w:val="2"/>
        </w:numPr>
        <w:spacing w:after="125" w:line="246" w:lineRule="auto"/>
        <w:ind w:right="13" w:hanging="360"/>
      </w:pPr>
      <w:r>
        <w:t>=</w:t>
      </w:r>
      <w:r>
        <w:tab/>
        <w:t xml:space="preserve">the amount of the energy type delivered to the </w:t>
      </w:r>
      <w:r>
        <w:rPr>
          <w:i/>
        </w:rPr>
        <w:t>building</w:t>
      </w:r>
      <w:r>
        <w:t xml:space="preserve"> during the 12month period, converted to energy equivalent (Refer to Section 5.2.3.)</w:t>
      </w:r>
    </w:p>
    <w:p w14:paraId="70673888" w14:textId="77777777" w:rsidR="00232550" w:rsidRDefault="00232550" w:rsidP="00232550">
      <w:pPr>
        <w:numPr>
          <w:ilvl w:val="0"/>
          <w:numId w:val="2"/>
        </w:numPr>
        <w:spacing w:after="100"/>
        <w:ind w:right="13" w:hanging="360"/>
      </w:pPr>
      <w:r>
        <w:t>= measured inventory of the energy type at the end of the 12 month period, converted to energy equivalent (Refer to Section 5.2.3.)</w:t>
      </w:r>
    </w:p>
    <w:p w14:paraId="42F09B1D" w14:textId="77777777" w:rsidR="00232550" w:rsidRDefault="00232550" w:rsidP="00232550">
      <w:pPr>
        <w:spacing w:after="100"/>
        <w:ind w:right="13"/>
      </w:pPr>
    </w:p>
    <w:p w14:paraId="237B7BFB" w14:textId="77777777" w:rsidR="00232550" w:rsidRDefault="00232550" w:rsidP="00232550">
      <w:pPr>
        <w:ind w:left="-15" w:right="13" w:firstLine="288"/>
      </w:pPr>
      <w:r>
        <w:rPr>
          <w:b/>
        </w:rPr>
        <w:t xml:space="preserve">5.2.2.2 </w:t>
      </w:r>
      <w:r>
        <w:t xml:space="preserve">If the annual energy consumption of an inventoried energy type is less than twice its on-site storage capacity, the inventory measurement accuracy and methodology shall be reported as part of the </w:t>
      </w:r>
      <w:r>
        <w:rPr>
          <w:i/>
        </w:rPr>
        <w:t>energy accounting system</w:t>
      </w:r>
      <w:r>
        <w:t xml:space="preserve"> documentation.</w:t>
      </w:r>
    </w:p>
    <w:p w14:paraId="53501ADC" w14:textId="77777777" w:rsidR="00232550" w:rsidRDefault="00232550" w:rsidP="00232550">
      <w:pPr>
        <w:ind w:left="-15" w:right="13" w:firstLine="288"/>
      </w:pPr>
    </w:p>
    <w:p w14:paraId="4323391F" w14:textId="77777777" w:rsidR="00232550" w:rsidRDefault="00232550" w:rsidP="00232550">
      <w:pPr>
        <w:ind w:left="-15" w:right="13" w:firstLine="288"/>
      </w:pPr>
    </w:p>
    <w:p w14:paraId="395333E0" w14:textId="77777777" w:rsidR="00232550" w:rsidRDefault="00232550" w:rsidP="00232550">
      <w:pPr>
        <w:ind w:left="-15" w:right="13" w:firstLine="288"/>
      </w:pPr>
    </w:p>
    <w:p w14:paraId="47F9FB81" w14:textId="77777777" w:rsidR="00232550" w:rsidRDefault="00232550" w:rsidP="00232550">
      <w:pPr>
        <w:ind w:left="-15" w:right="13" w:firstLine="288"/>
      </w:pPr>
    </w:p>
    <w:p w14:paraId="5C32699D" w14:textId="77777777" w:rsidR="00232550" w:rsidRDefault="00232550" w:rsidP="00232550">
      <w:pPr>
        <w:ind w:left="-15" w:right="13" w:firstLine="288"/>
      </w:pPr>
    </w:p>
    <w:p w14:paraId="150A9F81" w14:textId="77777777" w:rsidR="00232550" w:rsidRDefault="00232550">
      <w:pPr>
        <w:spacing w:after="160" w:line="259" w:lineRule="auto"/>
        <w:ind w:firstLine="0"/>
        <w:jc w:val="left"/>
        <w:rPr>
          <w:b/>
        </w:rPr>
      </w:pPr>
      <w:r>
        <w:rPr>
          <w:b/>
        </w:rPr>
        <w:br w:type="page"/>
      </w:r>
    </w:p>
    <w:p w14:paraId="498E88ED" w14:textId="7177CF2C" w:rsidR="00F4418B" w:rsidRDefault="00232550" w:rsidP="00F4418B">
      <w:pPr>
        <w:ind w:left="-15" w:right="13" w:firstLine="0"/>
      </w:pPr>
      <w:r>
        <w:rPr>
          <w:b/>
        </w:rPr>
        <w:t>5.2.3 Energy Conversion Factors.</w:t>
      </w:r>
      <w:r>
        <w:t xml:space="preserve"> The </w:t>
      </w:r>
      <w:r>
        <w:rPr>
          <w:i/>
        </w:rPr>
        <w:t>site energy</w:t>
      </w:r>
      <w:r>
        <w:t xml:space="preserve"> content of different forms of purchased energy shall be converted from the purchased unit to the standard </w:t>
      </w:r>
      <w:r>
        <w:rPr>
          <w:i/>
        </w:rPr>
        <w:t>site energy</w:t>
      </w:r>
      <w:r>
        <w:t xml:space="preserve"> unit</w:t>
      </w:r>
      <w:r w:rsidR="00F4418B">
        <w:t xml:space="preserve"> </w:t>
      </w:r>
      <w:r w:rsidR="00F4418B" w:rsidRPr="00F4418B">
        <w:rPr>
          <w:color w:val="0070C0"/>
          <w:u w:val="single"/>
        </w:rPr>
        <w:t xml:space="preserve">using the conversation factors incorporated in </w:t>
      </w:r>
      <w:commentRangeStart w:id="8"/>
      <w:r w:rsidR="00F4418B" w:rsidRPr="00F4418B">
        <w:rPr>
          <w:color w:val="0070C0"/>
          <w:u w:val="single"/>
        </w:rPr>
        <w:t>Energy Star Portfolio Manager</w:t>
      </w:r>
      <w:r w:rsidRPr="00F4418B">
        <w:rPr>
          <w:color w:val="0070C0"/>
          <w:u w:val="single"/>
        </w:rPr>
        <w:t>.</w:t>
      </w:r>
      <w:r w:rsidRPr="00F4418B">
        <w:rPr>
          <w:color w:val="0070C0"/>
        </w:rPr>
        <w:t xml:space="preserve"> </w:t>
      </w:r>
      <w:commentRangeEnd w:id="8"/>
      <w:r w:rsidR="00F4418B">
        <w:rPr>
          <w:rStyle w:val="CommentReference"/>
        </w:rPr>
        <w:commentReference w:id="8"/>
      </w:r>
      <w:r>
        <w:t xml:space="preserve">If </w:t>
      </w:r>
      <w:r>
        <w:rPr>
          <w:i/>
        </w:rPr>
        <w:t>site energy</w:t>
      </w:r>
      <w:r>
        <w:t xml:space="preserve"> conversion factors are not provided by </w:t>
      </w:r>
      <w:r w:rsidR="00F4418B" w:rsidRPr="00F4418B">
        <w:rPr>
          <w:color w:val="0070C0"/>
          <w:u w:val="single"/>
        </w:rPr>
        <w:t>Energy Star Portfolio Manager</w:t>
      </w:r>
      <w:r w:rsidR="00F4418B">
        <w:t xml:space="preserve"> </w:t>
      </w:r>
      <w:r w:rsidRPr="00F4418B">
        <w:rPr>
          <w:strike/>
          <w:color w:val="FF0000"/>
        </w:rPr>
        <w:t>the utility or</w:t>
      </w:r>
      <w:r w:rsidR="00F4418B" w:rsidRPr="00F4418B">
        <w:rPr>
          <w:strike/>
          <w:color w:val="FF0000"/>
        </w:rPr>
        <w:t xml:space="preserve"> fuel supplier,</w:t>
      </w:r>
      <w:r w:rsidR="00F4418B" w:rsidRPr="00F4418B">
        <w:rPr>
          <w:color w:val="FF0000"/>
        </w:rPr>
        <w:t xml:space="preserve"> </w:t>
      </w:r>
      <w:r w:rsidR="00F4418B">
        <w:t>the conversion factors in Table 5-2a shall be used. (See also Informative Annex K.)</w:t>
      </w:r>
    </w:p>
    <w:p w14:paraId="7C27BEF7" w14:textId="77777777" w:rsidR="00F4418B" w:rsidRDefault="00F4418B" w:rsidP="00F4418B">
      <w:pPr>
        <w:ind w:left="-15" w:right="13"/>
        <w:rPr>
          <w:b/>
        </w:rPr>
      </w:pPr>
    </w:p>
    <w:p w14:paraId="1999F259" w14:textId="7774B85E" w:rsidR="00E43A3D" w:rsidRPr="00E43A3D" w:rsidRDefault="00F4418B" w:rsidP="00F4418B">
      <w:pPr>
        <w:ind w:left="-15" w:right="13"/>
        <w:rPr>
          <w:color w:val="0070C0"/>
          <w:u w:val="single"/>
        </w:rPr>
      </w:pPr>
      <w:r w:rsidRPr="00DC15DA">
        <w:rPr>
          <w:b/>
        </w:rPr>
        <w:t xml:space="preserve">5.2.4 </w:t>
      </w:r>
      <w:r w:rsidRPr="00DC15DA">
        <w:t xml:space="preserve">The </w:t>
      </w:r>
      <w:r w:rsidRPr="00DC15DA">
        <w:rPr>
          <w:i/>
        </w:rPr>
        <w:t>energy accounting system</w:t>
      </w:r>
      <w:r w:rsidRPr="00DC15DA">
        <w:t xml:space="preserve"> shall </w:t>
      </w:r>
      <w:r w:rsidR="0077693B" w:rsidRPr="0077693B">
        <w:rPr>
          <w:color w:val="0070C0"/>
          <w:u w:val="single"/>
        </w:rPr>
        <w:t xml:space="preserve">be Energy Star Portfolio Manager or an alternate as designated by the </w:t>
      </w:r>
      <w:r w:rsidR="0077693B" w:rsidRPr="0077693B">
        <w:rPr>
          <w:i/>
          <w:color w:val="0070C0"/>
          <w:u w:val="single"/>
        </w:rPr>
        <w:t>AHJ</w:t>
      </w:r>
      <w:r w:rsidR="00E43A3D">
        <w:rPr>
          <w:i/>
          <w:color w:val="0070C0"/>
          <w:u w:val="single"/>
        </w:rPr>
        <w:t>.</w:t>
      </w:r>
      <w:r w:rsidR="00E43A3D">
        <w:rPr>
          <w:color w:val="0070C0"/>
          <w:u w:val="single"/>
        </w:rPr>
        <w:t xml:space="preserve"> Reporting shall include </w:t>
      </w:r>
      <w:r w:rsidR="000D4104">
        <w:rPr>
          <w:color w:val="0070C0"/>
          <w:u w:val="single"/>
        </w:rPr>
        <w:t xml:space="preserve">building description and energy consumption data </w:t>
      </w:r>
      <w:r w:rsidR="00E43A3D">
        <w:rPr>
          <w:color w:val="0070C0"/>
          <w:u w:val="single"/>
        </w:rPr>
        <w:t xml:space="preserve">as specified by the </w:t>
      </w:r>
      <w:r w:rsidR="00E43A3D" w:rsidRPr="00E43A3D">
        <w:rPr>
          <w:i/>
          <w:color w:val="0070C0"/>
          <w:u w:val="single"/>
        </w:rPr>
        <w:t>AHJ.</w:t>
      </w:r>
      <w:r w:rsidR="00E43A3D">
        <w:rPr>
          <w:color w:val="0070C0"/>
          <w:u w:val="single"/>
        </w:rPr>
        <w:t xml:space="preserve"> </w:t>
      </w:r>
    </w:p>
    <w:p w14:paraId="1BD605E4" w14:textId="5C71ECE5" w:rsidR="00F4418B" w:rsidRPr="0077693B" w:rsidRDefault="0077693B" w:rsidP="00F4418B">
      <w:pPr>
        <w:ind w:left="-15" w:right="13"/>
        <w:rPr>
          <w:color w:val="FF0000"/>
        </w:rPr>
      </w:pPr>
      <w:r w:rsidRPr="0077693B">
        <w:rPr>
          <w:strike/>
          <w:color w:val="FF0000"/>
        </w:rPr>
        <w:t xml:space="preserve">. </w:t>
      </w:r>
      <w:r w:rsidR="00F4418B" w:rsidRPr="0077693B">
        <w:rPr>
          <w:strike/>
          <w:color w:val="FF0000"/>
        </w:rPr>
        <w:t>perform the following.</w:t>
      </w:r>
    </w:p>
    <w:p w14:paraId="7CACAE8D" w14:textId="77777777" w:rsidR="00F4418B" w:rsidRPr="0077693B" w:rsidRDefault="00F4418B" w:rsidP="00F4418B">
      <w:pPr>
        <w:ind w:left="-15" w:right="13" w:firstLine="288"/>
        <w:rPr>
          <w:strike/>
          <w:color w:val="FF0000"/>
        </w:rPr>
      </w:pPr>
      <w:r w:rsidRPr="0077693B">
        <w:rPr>
          <w:b/>
          <w:strike/>
          <w:color w:val="FF0000"/>
        </w:rPr>
        <w:t xml:space="preserve">5.2.4.1 </w:t>
      </w:r>
      <w:r w:rsidRPr="0077693B">
        <w:rPr>
          <w:strike/>
          <w:color w:val="FF0000"/>
        </w:rPr>
        <w:t xml:space="preserve">Record annual </w:t>
      </w:r>
      <w:r w:rsidRPr="0077693B">
        <w:rPr>
          <w:i/>
          <w:strike/>
          <w:color w:val="FF0000"/>
        </w:rPr>
        <w:t>net energy</w:t>
      </w:r>
      <w:r w:rsidRPr="0077693B">
        <w:rPr>
          <w:strike/>
          <w:color w:val="FF0000"/>
        </w:rPr>
        <w:t xml:space="preserve"> consumption data for each </w:t>
      </w:r>
      <w:r w:rsidRPr="0077693B">
        <w:rPr>
          <w:i/>
          <w:strike/>
          <w:color w:val="FF0000"/>
        </w:rPr>
        <w:t>building</w:t>
      </w:r>
      <w:r w:rsidRPr="0077693B">
        <w:rPr>
          <w:strike/>
          <w:color w:val="FF0000"/>
        </w:rPr>
        <w:t>, including all forms of purchased energy from at least 12 consecutive months of data.</w:t>
      </w:r>
    </w:p>
    <w:p w14:paraId="07B1564E" w14:textId="7B517E91" w:rsidR="00F4418B" w:rsidRPr="0077693B" w:rsidRDefault="00F4418B" w:rsidP="00F4418B">
      <w:pPr>
        <w:ind w:left="-15" w:right="13" w:firstLine="288"/>
        <w:rPr>
          <w:strike/>
          <w:color w:val="FF0000"/>
        </w:rPr>
      </w:pPr>
      <w:r w:rsidRPr="0077693B">
        <w:rPr>
          <w:b/>
          <w:strike/>
          <w:color w:val="FF0000"/>
        </w:rPr>
        <w:t xml:space="preserve">5.2.4.2 </w:t>
      </w:r>
      <w:r w:rsidRPr="0077693B">
        <w:rPr>
          <w:strike/>
          <w:color w:val="FF0000"/>
        </w:rPr>
        <w:t xml:space="preserve">Record total </w:t>
      </w:r>
      <w:r w:rsidRPr="0077693B">
        <w:rPr>
          <w:i/>
          <w:strike/>
          <w:color w:val="FF0000"/>
        </w:rPr>
        <w:t>net energy</w:t>
      </w:r>
      <w:r w:rsidRPr="0077693B">
        <w:rPr>
          <w:strike/>
          <w:color w:val="FF0000"/>
        </w:rPr>
        <w:t xml:space="preserve"> use expressed as Btu/year (MJ/year).</w:t>
      </w:r>
    </w:p>
    <w:p w14:paraId="3948A436" w14:textId="77777777" w:rsidR="00F4418B" w:rsidRPr="0077693B" w:rsidRDefault="00F4418B" w:rsidP="00F4418B">
      <w:pPr>
        <w:spacing w:after="121"/>
        <w:ind w:left="-15" w:right="13" w:firstLine="288"/>
        <w:rPr>
          <w:strike/>
          <w:color w:val="FF0000"/>
        </w:rPr>
      </w:pPr>
      <w:r w:rsidRPr="0077693B">
        <w:rPr>
          <w:b/>
          <w:strike/>
          <w:color w:val="FF0000"/>
        </w:rPr>
        <w:t xml:space="preserve">5.2.4.3 </w:t>
      </w:r>
      <w:r w:rsidRPr="0077693B">
        <w:rPr>
          <w:strike/>
          <w:color w:val="FF0000"/>
        </w:rPr>
        <w:t xml:space="preserve">Record each </w:t>
      </w:r>
      <w:r w:rsidRPr="0077693B">
        <w:rPr>
          <w:i/>
          <w:strike/>
          <w:color w:val="FF0000"/>
        </w:rPr>
        <w:t>nonresidential building</w:t>
      </w:r>
      <w:r w:rsidRPr="0077693B">
        <w:rPr>
          <w:strike/>
          <w:color w:val="FF0000"/>
        </w:rPr>
        <w:t xml:space="preserve">’s </w:t>
      </w:r>
      <w:r w:rsidRPr="0077693B">
        <w:rPr>
          <w:i/>
          <w:strike/>
          <w:color w:val="FF0000"/>
        </w:rPr>
        <w:t>EUI</w:t>
      </w:r>
      <w:r w:rsidRPr="0077693B">
        <w:rPr>
          <w:strike/>
          <w:color w:val="FF0000"/>
        </w:rPr>
        <w:t xml:space="preserve"> as follows, as applicable:</w:t>
      </w:r>
    </w:p>
    <w:p w14:paraId="32D07619" w14:textId="77777777" w:rsidR="00F4418B" w:rsidRPr="0077693B" w:rsidRDefault="00F4418B" w:rsidP="00F4418B">
      <w:pPr>
        <w:numPr>
          <w:ilvl w:val="0"/>
          <w:numId w:val="3"/>
        </w:numPr>
        <w:spacing w:after="0" w:line="250" w:lineRule="auto"/>
        <w:ind w:hanging="288"/>
        <w:rPr>
          <w:strike/>
          <w:color w:val="FF0000"/>
        </w:rPr>
      </w:pPr>
      <w:r w:rsidRPr="0077693B">
        <w:rPr>
          <w:strike/>
          <w:color w:val="FF0000"/>
        </w:rPr>
        <w:t xml:space="preserve">Annual </w:t>
      </w:r>
      <w:r w:rsidRPr="0077693B">
        <w:rPr>
          <w:i/>
          <w:strike/>
          <w:color w:val="FF0000"/>
        </w:rPr>
        <w:t>net energy</w:t>
      </w:r>
      <w:r w:rsidRPr="0077693B">
        <w:rPr>
          <w:strike/>
          <w:color w:val="FF0000"/>
        </w:rPr>
        <w:t xml:space="preserve"> use, MJ/</w:t>
      </w:r>
      <w:r w:rsidRPr="0077693B">
        <w:rPr>
          <w:i/>
          <w:strike/>
          <w:color w:val="FF0000"/>
        </w:rPr>
        <w:t>gross floor area for nonresidential buildings</w:t>
      </w:r>
      <w:r w:rsidRPr="0077693B">
        <w:rPr>
          <w:strike/>
          <w:color w:val="FF0000"/>
        </w:rPr>
        <w:t>, m</w:t>
      </w:r>
      <w:r w:rsidRPr="0077693B">
        <w:rPr>
          <w:strike/>
          <w:color w:val="FF0000"/>
          <w:sz w:val="25"/>
          <w:vertAlign w:val="superscript"/>
        </w:rPr>
        <w:t>2</w:t>
      </w:r>
    </w:p>
    <w:p w14:paraId="024F65B1" w14:textId="77777777" w:rsidR="00F4418B" w:rsidRPr="0077693B" w:rsidRDefault="00F4418B" w:rsidP="00F4418B">
      <w:pPr>
        <w:numPr>
          <w:ilvl w:val="0"/>
          <w:numId w:val="3"/>
        </w:numPr>
        <w:spacing w:after="20" w:line="250" w:lineRule="auto"/>
        <w:ind w:hanging="288"/>
        <w:rPr>
          <w:strike/>
          <w:color w:val="FF0000"/>
        </w:rPr>
      </w:pPr>
      <w:r w:rsidRPr="0077693B">
        <w:rPr>
          <w:strike/>
          <w:color w:val="FF0000"/>
        </w:rPr>
        <w:t xml:space="preserve">Annual </w:t>
      </w:r>
      <w:r w:rsidRPr="0077693B">
        <w:rPr>
          <w:i/>
          <w:strike/>
          <w:color w:val="FF0000"/>
        </w:rPr>
        <w:t>net energy</w:t>
      </w:r>
      <w:r w:rsidRPr="0077693B">
        <w:rPr>
          <w:strike/>
          <w:color w:val="FF0000"/>
        </w:rPr>
        <w:t xml:space="preserve"> use, kBtu/</w:t>
      </w:r>
      <w:r w:rsidRPr="0077693B">
        <w:rPr>
          <w:i/>
          <w:strike/>
          <w:color w:val="FF0000"/>
        </w:rPr>
        <w:t>gross floor area for nonresidential buildings</w:t>
      </w:r>
      <w:r w:rsidRPr="0077693B">
        <w:rPr>
          <w:strike/>
          <w:color w:val="FF0000"/>
        </w:rPr>
        <w:t>, ft</w:t>
      </w:r>
      <w:r w:rsidRPr="0077693B">
        <w:rPr>
          <w:strike/>
          <w:color w:val="FF0000"/>
          <w:sz w:val="25"/>
          <w:vertAlign w:val="superscript"/>
        </w:rPr>
        <w:t>2</w:t>
      </w:r>
    </w:p>
    <w:p w14:paraId="3AFCEB27" w14:textId="77777777" w:rsidR="00F4418B" w:rsidRPr="0077693B" w:rsidRDefault="00F4418B" w:rsidP="00F4418B">
      <w:pPr>
        <w:spacing w:after="138"/>
        <w:ind w:left="-15" w:right="13" w:firstLine="288"/>
        <w:rPr>
          <w:strike/>
          <w:color w:val="FF0000"/>
        </w:rPr>
      </w:pPr>
      <w:r w:rsidRPr="0077693B">
        <w:rPr>
          <w:b/>
          <w:strike/>
          <w:color w:val="FF0000"/>
        </w:rPr>
        <w:t xml:space="preserve">5.2.4.4 </w:t>
      </w:r>
      <w:r w:rsidRPr="0077693B">
        <w:rPr>
          <w:strike/>
          <w:color w:val="FF0000"/>
        </w:rPr>
        <w:t xml:space="preserve">Record each </w:t>
      </w:r>
      <w:r w:rsidRPr="0077693B">
        <w:rPr>
          <w:i/>
          <w:strike/>
          <w:color w:val="FF0000"/>
        </w:rPr>
        <w:t>residential building</w:t>
      </w:r>
      <w:r w:rsidRPr="0077693B">
        <w:rPr>
          <w:strike/>
          <w:color w:val="FF0000"/>
        </w:rPr>
        <w:t xml:space="preserve">’s </w:t>
      </w:r>
      <w:r w:rsidRPr="0077693B">
        <w:rPr>
          <w:i/>
          <w:strike/>
          <w:color w:val="FF0000"/>
        </w:rPr>
        <w:t>EUI</w:t>
      </w:r>
      <w:r w:rsidRPr="0077693B">
        <w:rPr>
          <w:strike/>
          <w:color w:val="FF0000"/>
        </w:rPr>
        <w:t xml:space="preserve"> as follows, as applicable:</w:t>
      </w:r>
    </w:p>
    <w:p w14:paraId="13D60553" w14:textId="77777777" w:rsidR="00F4418B" w:rsidRPr="0077693B" w:rsidRDefault="00F4418B" w:rsidP="00F4418B">
      <w:pPr>
        <w:numPr>
          <w:ilvl w:val="0"/>
          <w:numId w:val="4"/>
        </w:numPr>
        <w:spacing w:after="4" w:line="250" w:lineRule="auto"/>
        <w:ind w:hanging="288"/>
        <w:rPr>
          <w:strike/>
          <w:color w:val="FF0000"/>
        </w:rPr>
      </w:pPr>
      <w:r w:rsidRPr="0077693B">
        <w:rPr>
          <w:strike/>
          <w:color w:val="FF0000"/>
        </w:rPr>
        <w:t xml:space="preserve">annual </w:t>
      </w:r>
      <w:r w:rsidRPr="0077693B">
        <w:rPr>
          <w:i/>
          <w:strike/>
          <w:color w:val="FF0000"/>
        </w:rPr>
        <w:t>net energy</w:t>
      </w:r>
      <w:r w:rsidRPr="0077693B">
        <w:rPr>
          <w:strike/>
          <w:color w:val="FF0000"/>
        </w:rPr>
        <w:t xml:space="preserve"> use, MJ/</w:t>
      </w:r>
      <w:r w:rsidRPr="0077693B">
        <w:rPr>
          <w:i/>
          <w:strike/>
          <w:color w:val="FF0000"/>
        </w:rPr>
        <w:t>gross floor area for residential buildings</w:t>
      </w:r>
      <w:r w:rsidRPr="0077693B">
        <w:rPr>
          <w:strike/>
          <w:color w:val="FF0000"/>
        </w:rPr>
        <w:t>, m</w:t>
      </w:r>
      <w:r w:rsidRPr="0077693B">
        <w:rPr>
          <w:strike/>
          <w:color w:val="FF0000"/>
          <w:sz w:val="25"/>
          <w:vertAlign w:val="superscript"/>
        </w:rPr>
        <w:t>2</w:t>
      </w:r>
    </w:p>
    <w:p w14:paraId="54F78C9A" w14:textId="203BD8C2" w:rsidR="00F4418B" w:rsidRPr="0077693B" w:rsidRDefault="00F4418B" w:rsidP="00D322B4">
      <w:pPr>
        <w:numPr>
          <w:ilvl w:val="0"/>
          <w:numId w:val="4"/>
        </w:numPr>
        <w:spacing w:after="124" w:line="250" w:lineRule="auto"/>
        <w:ind w:hanging="288"/>
        <w:rPr>
          <w:strike/>
          <w:color w:val="FF0000"/>
        </w:rPr>
      </w:pPr>
      <w:r w:rsidRPr="0077693B">
        <w:rPr>
          <w:strike/>
          <w:color w:val="FF0000"/>
        </w:rPr>
        <w:t xml:space="preserve">annual </w:t>
      </w:r>
      <w:r w:rsidRPr="0077693B">
        <w:rPr>
          <w:i/>
          <w:strike/>
          <w:color w:val="FF0000"/>
        </w:rPr>
        <w:t>net energy</w:t>
      </w:r>
      <w:r w:rsidRPr="0077693B">
        <w:rPr>
          <w:strike/>
          <w:color w:val="FF0000"/>
        </w:rPr>
        <w:t xml:space="preserve"> use, kBtu/</w:t>
      </w:r>
      <w:r w:rsidRPr="0077693B">
        <w:rPr>
          <w:i/>
          <w:strike/>
          <w:color w:val="FF0000"/>
        </w:rPr>
        <w:t>gross floor area for residential buildings</w:t>
      </w:r>
      <w:r w:rsidRPr="0077693B">
        <w:rPr>
          <w:strike/>
          <w:color w:val="FF0000"/>
        </w:rPr>
        <w:t>, ft</w:t>
      </w:r>
      <w:r w:rsidRPr="0077693B">
        <w:rPr>
          <w:strike/>
          <w:color w:val="FF0000"/>
          <w:sz w:val="25"/>
          <w:vertAlign w:val="superscript"/>
        </w:rPr>
        <w:t>2</w:t>
      </w:r>
    </w:p>
    <w:p w14:paraId="37D9DF84" w14:textId="77777777" w:rsidR="00F4418B" w:rsidRDefault="00F4418B" w:rsidP="00F4418B">
      <w:pPr>
        <w:ind w:left="-15" w:right="13" w:firstLine="0"/>
        <w:rPr>
          <w:b/>
        </w:rPr>
      </w:pPr>
    </w:p>
    <w:p w14:paraId="3C609030" w14:textId="77777777" w:rsidR="00F4418B" w:rsidRDefault="00F4418B" w:rsidP="00F4418B">
      <w:pPr>
        <w:ind w:left="-15" w:right="13" w:firstLine="0"/>
      </w:pPr>
      <w:r>
        <w:rPr>
          <w:b/>
        </w:rPr>
        <w:t xml:space="preserve">5.3 Energy Manager. </w:t>
      </w:r>
      <w:r>
        <w:t xml:space="preserve">The </w:t>
      </w:r>
      <w:r>
        <w:rPr>
          <w:i/>
        </w:rPr>
        <w:t>EM</w:t>
      </w:r>
      <w:r>
        <w:t xml:space="preserve"> shall be responsible for the following. </w:t>
      </w:r>
    </w:p>
    <w:p w14:paraId="5F8854FB" w14:textId="77777777" w:rsidR="00F4418B" w:rsidRPr="00232550" w:rsidRDefault="00F4418B" w:rsidP="00F4418B">
      <w:pPr>
        <w:ind w:left="720" w:firstLine="0"/>
      </w:pPr>
      <w:r w:rsidRPr="00232550">
        <w:rPr>
          <w:b/>
        </w:rPr>
        <w:t>5.3.1</w:t>
      </w:r>
      <w:r w:rsidRPr="00232550">
        <w:t xml:space="preserve"> Conducting technical, policy-related planning related to energy efficiency.</w:t>
      </w:r>
    </w:p>
    <w:p w14:paraId="0C310F55" w14:textId="77777777" w:rsidR="00F4418B" w:rsidRPr="00232550" w:rsidRDefault="00F4418B" w:rsidP="00F4418B">
      <w:pPr>
        <w:ind w:left="720" w:firstLine="0"/>
      </w:pPr>
      <w:r w:rsidRPr="00232550">
        <w:rPr>
          <w:b/>
        </w:rPr>
        <w:t>5.3.2</w:t>
      </w:r>
      <w:r w:rsidRPr="00232550">
        <w:t xml:space="preserve"> Purchasing energy for spaces under his or her control.</w:t>
      </w:r>
    </w:p>
    <w:p w14:paraId="5125E3CE" w14:textId="77777777" w:rsidR="00F4418B" w:rsidRPr="00232550" w:rsidRDefault="00F4418B" w:rsidP="00F4418B">
      <w:pPr>
        <w:ind w:left="720" w:firstLine="0"/>
      </w:pPr>
      <w:r w:rsidRPr="00232550">
        <w:rPr>
          <w:b/>
        </w:rPr>
        <w:t>5.3.3</w:t>
      </w:r>
      <w:r w:rsidRPr="00232550">
        <w:t xml:space="preserve"> Public relations matters related to energy.</w:t>
      </w:r>
    </w:p>
    <w:p w14:paraId="35A12AF5" w14:textId="77777777" w:rsidR="00F4418B" w:rsidRPr="00232550" w:rsidRDefault="00F4418B" w:rsidP="00F4418B">
      <w:pPr>
        <w:ind w:left="720" w:firstLine="0"/>
      </w:pPr>
      <w:r w:rsidRPr="00232550">
        <w:rPr>
          <w:b/>
        </w:rPr>
        <w:t>5.3.4</w:t>
      </w:r>
      <w:r w:rsidRPr="00232550">
        <w:t xml:space="preserve"> Implementing the results of energy audits and EEMs outlined in the energy management plan. </w:t>
      </w:r>
    </w:p>
    <w:p w14:paraId="02F9B9AC" w14:textId="77777777" w:rsidR="00F4418B" w:rsidRPr="00232550" w:rsidRDefault="00F4418B" w:rsidP="00F4418B">
      <w:pPr>
        <w:ind w:left="720" w:firstLine="0"/>
      </w:pPr>
    </w:p>
    <w:p w14:paraId="4154A598" w14:textId="77777777" w:rsidR="00F4418B" w:rsidRPr="00232550" w:rsidRDefault="00F4418B" w:rsidP="00F4418B">
      <w:pPr>
        <w:ind w:left="720" w:firstLine="0"/>
      </w:pPr>
      <w:r w:rsidRPr="00232550">
        <w:rPr>
          <w:b/>
        </w:rPr>
        <w:t>5.3.5</w:t>
      </w:r>
      <w:r w:rsidRPr="00232550">
        <w:t xml:space="preserve"> Evaluating energy efficiency of proposed new construction, facility expansion, remodeling, or new equipment purchases.</w:t>
      </w:r>
    </w:p>
    <w:p w14:paraId="67619534" w14:textId="77777777" w:rsidR="00F4418B" w:rsidRPr="00232550" w:rsidRDefault="00F4418B" w:rsidP="00F4418B">
      <w:pPr>
        <w:ind w:left="720" w:firstLine="0"/>
      </w:pPr>
      <w:r w:rsidRPr="00232550">
        <w:rPr>
          <w:b/>
        </w:rPr>
        <w:t>5.3.6</w:t>
      </w:r>
      <w:r w:rsidRPr="00232550">
        <w:t xml:space="preserve"> Reviewing building O&amp;M procedures for optimal energy management.</w:t>
      </w:r>
    </w:p>
    <w:p w14:paraId="25A5ECB2" w14:textId="77777777" w:rsidR="00F4418B" w:rsidRPr="00232550" w:rsidRDefault="00F4418B" w:rsidP="00F4418B">
      <w:pPr>
        <w:ind w:left="720" w:firstLine="0"/>
      </w:pPr>
      <w:r w:rsidRPr="00232550">
        <w:rPr>
          <w:b/>
        </w:rPr>
        <w:t>5.3.7</w:t>
      </w:r>
      <w:r w:rsidRPr="00232550">
        <w:t xml:space="preserve"> Adhering to energy codes and standards.</w:t>
      </w:r>
    </w:p>
    <w:p w14:paraId="6976255B" w14:textId="77777777" w:rsidR="00F4418B" w:rsidRPr="00232550" w:rsidRDefault="00F4418B" w:rsidP="00F4418B">
      <w:pPr>
        <w:ind w:left="720" w:firstLine="0"/>
      </w:pPr>
      <w:r w:rsidRPr="00232550">
        <w:rPr>
          <w:b/>
        </w:rPr>
        <w:t>5.3.8</w:t>
      </w:r>
      <w:r w:rsidRPr="00232550">
        <w:t xml:space="preserve"> Reporting regularly to ma</w:t>
      </w:r>
      <w:r>
        <w:t>nagement and other stakeholders</w:t>
      </w:r>
      <w:r w:rsidRPr="00232550">
        <w:t>.</w:t>
      </w:r>
    </w:p>
    <w:p w14:paraId="7483F2D7" w14:textId="77777777" w:rsidR="00F4418B" w:rsidRPr="00232550" w:rsidRDefault="00F4418B" w:rsidP="00F4418B">
      <w:pPr>
        <w:ind w:left="720" w:firstLine="0"/>
      </w:pPr>
      <w:r w:rsidRPr="00232550">
        <w:rPr>
          <w:b/>
        </w:rPr>
        <w:t>5.3.9</w:t>
      </w:r>
      <w:r w:rsidRPr="00232550">
        <w:t xml:space="preserve"> Developing and implementing an energy efficiency plan according to Section 9.1.</w:t>
      </w:r>
    </w:p>
    <w:p w14:paraId="5395C7D1" w14:textId="2D379CFE" w:rsidR="00232550" w:rsidRDefault="00232550" w:rsidP="00232550">
      <w:pPr>
        <w:ind w:left="-15" w:right="13"/>
      </w:pPr>
    </w:p>
    <w:tbl>
      <w:tblPr>
        <w:tblStyle w:val="TableGrid"/>
        <w:tblpPr w:vertAnchor="text" w:horzAnchor="margin"/>
        <w:tblOverlap w:val="never"/>
        <w:tblW w:w="10228" w:type="dxa"/>
        <w:tblInd w:w="0" w:type="dxa"/>
        <w:tblLook w:val="04A0" w:firstRow="1" w:lastRow="0" w:firstColumn="1" w:lastColumn="0" w:noHBand="0" w:noVBand="1"/>
      </w:tblPr>
      <w:tblGrid>
        <w:gridCol w:w="10228"/>
      </w:tblGrid>
      <w:tr w:rsidR="00232550" w14:paraId="027C38E2" w14:textId="77777777" w:rsidTr="00692CC9">
        <w:trPr>
          <w:trHeight w:val="685"/>
        </w:trPr>
        <w:tc>
          <w:tcPr>
            <w:tcW w:w="2765" w:type="dxa"/>
            <w:tcBorders>
              <w:top w:val="nil"/>
              <w:left w:val="nil"/>
              <w:bottom w:val="nil"/>
              <w:right w:val="nil"/>
            </w:tcBorders>
            <w:vAlign w:val="bottom"/>
          </w:tcPr>
          <w:p w14:paraId="341F805B" w14:textId="77777777" w:rsidR="00232550" w:rsidRDefault="00232550" w:rsidP="00692CC9">
            <w:pPr>
              <w:spacing w:after="246" w:line="259" w:lineRule="auto"/>
              <w:ind w:left="1401" w:firstLine="0"/>
              <w:jc w:val="left"/>
            </w:pPr>
            <w:r>
              <w:rPr>
                <w:noProof/>
              </w:rPr>
              <w:drawing>
                <wp:inline distT="0" distB="0" distL="0" distR="0" wp14:anchorId="712A23BD" wp14:editId="78A9FD59">
                  <wp:extent cx="3732835" cy="3337880"/>
                  <wp:effectExtent l="0" t="0" r="1270" b="0"/>
                  <wp:docPr id="1685" name="Picture 1685"/>
                  <wp:cNvGraphicFramePr/>
                  <a:graphic xmlns:a="http://schemas.openxmlformats.org/drawingml/2006/main">
                    <a:graphicData uri="http://schemas.openxmlformats.org/drawingml/2006/picture">
                      <pic:pic xmlns:pic="http://schemas.openxmlformats.org/drawingml/2006/picture">
                        <pic:nvPicPr>
                          <pic:cNvPr id="1685" name="Picture 1685"/>
                          <pic:cNvPicPr/>
                        </pic:nvPicPr>
                        <pic:blipFill>
                          <a:blip r:embed="rId9"/>
                          <a:stretch>
                            <a:fillRect/>
                          </a:stretch>
                        </pic:blipFill>
                        <pic:spPr>
                          <a:xfrm>
                            <a:off x="0" y="0"/>
                            <a:ext cx="3735495" cy="3340258"/>
                          </a:xfrm>
                          <a:prstGeom prst="rect">
                            <a:avLst/>
                          </a:prstGeom>
                        </pic:spPr>
                      </pic:pic>
                    </a:graphicData>
                  </a:graphic>
                </wp:inline>
              </w:drawing>
            </w:r>
          </w:p>
          <w:p w14:paraId="378BFE52" w14:textId="77777777" w:rsidR="00232550" w:rsidRDefault="00232550" w:rsidP="00692CC9">
            <w:pPr>
              <w:spacing w:after="0" w:line="259" w:lineRule="auto"/>
              <w:ind w:right="7268" w:hanging="6"/>
              <w:jc w:val="left"/>
            </w:pPr>
            <w:r>
              <w:rPr>
                <w:rFonts w:ascii="Arial" w:eastAsia="Arial" w:hAnsi="Arial" w:cs="Arial"/>
                <w:b/>
                <w:sz w:val="17"/>
              </w:rPr>
              <w:t>Figure 5-1 Net energy concept. Table 5-1 Energy Flow Definitions</w:t>
            </w:r>
          </w:p>
          <w:tbl>
            <w:tblPr>
              <w:tblStyle w:val="TableGrid"/>
              <w:tblW w:w="10228" w:type="dxa"/>
              <w:tblInd w:w="0" w:type="dxa"/>
              <w:tblCellMar>
                <w:top w:w="85" w:type="dxa"/>
                <w:left w:w="80" w:type="dxa"/>
                <w:bottom w:w="81" w:type="dxa"/>
                <w:right w:w="49" w:type="dxa"/>
              </w:tblCellMar>
              <w:tblLook w:val="04A0" w:firstRow="1" w:lastRow="0" w:firstColumn="1" w:lastColumn="0" w:noHBand="0" w:noVBand="1"/>
            </w:tblPr>
            <w:tblGrid>
              <w:gridCol w:w="4193"/>
              <w:gridCol w:w="2682"/>
              <w:gridCol w:w="3353"/>
            </w:tblGrid>
            <w:tr w:rsidR="00232550" w14:paraId="4198F528" w14:textId="77777777" w:rsidTr="00692CC9">
              <w:trPr>
                <w:trHeight w:val="550"/>
              </w:trPr>
              <w:tc>
                <w:tcPr>
                  <w:tcW w:w="4194" w:type="dxa"/>
                  <w:tcBorders>
                    <w:top w:val="single" w:sz="17" w:space="0" w:color="000000"/>
                    <w:left w:val="nil"/>
                    <w:bottom w:val="double" w:sz="2" w:space="0" w:color="000000"/>
                    <w:right w:val="single" w:sz="2" w:space="0" w:color="000000"/>
                  </w:tcBorders>
                  <w:vAlign w:val="bottom"/>
                </w:tcPr>
                <w:p w14:paraId="10A872C6" w14:textId="77777777" w:rsidR="00232550" w:rsidRDefault="00232550" w:rsidP="00C22032">
                  <w:pPr>
                    <w:framePr w:wrap="around" w:vAnchor="text" w:hAnchor="margin"/>
                    <w:spacing w:after="0" w:line="259" w:lineRule="auto"/>
                    <w:ind w:firstLine="0"/>
                    <w:suppressOverlap/>
                    <w:jc w:val="left"/>
                  </w:pPr>
                  <w:r>
                    <w:rPr>
                      <w:b/>
                      <w:sz w:val="18"/>
                    </w:rPr>
                    <w:t>Energy Delivered to Building</w:t>
                  </w:r>
                </w:p>
              </w:tc>
              <w:tc>
                <w:tcPr>
                  <w:tcW w:w="2682" w:type="dxa"/>
                  <w:tcBorders>
                    <w:top w:val="single" w:sz="17" w:space="0" w:color="000000"/>
                    <w:left w:val="single" w:sz="2" w:space="0" w:color="000000"/>
                    <w:bottom w:val="double" w:sz="2" w:space="0" w:color="000000"/>
                    <w:right w:val="single" w:sz="2" w:space="0" w:color="000000"/>
                  </w:tcBorders>
                </w:tcPr>
                <w:p w14:paraId="2947C762" w14:textId="77777777" w:rsidR="00232550" w:rsidRDefault="00232550" w:rsidP="00C22032">
                  <w:pPr>
                    <w:framePr w:wrap="around" w:vAnchor="text" w:hAnchor="margin"/>
                    <w:spacing w:after="0" w:line="259" w:lineRule="auto"/>
                    <w:ind w:firstLine="0"/>
                    <w:suppressOverlap/>
                    <w:jc w:val="left"/>
                  </w:pPr>
                  <w:r>
                    <w:rPr>
                      <w:b/>
                      <w:sz w:val="18"/>
                    </w:rPr>
                    <w:t>Building Renewable</w:t>
                  </w:r>
                </w:p>
                <w:p w14:paraId="41B8CFF2" w14:textId="77777777" w:rsidR="00232550" w:rsidRDefault="00232550" w:rsidP="00C22032">
                  <w:pPr>
                    <w:framePr w:wrap="around" w:vAnchor="text" w:hAnchor="margin"/>
                    <w:spacing w:after="0" w:line="259" w:lineRule="auto"/>
                    <w:ind w:firstLine="0"/>
                    <w:suppressOverlap/>
                    <w:jc w:val="left"/>
                  </w:pPr>
                  <w:r>
                    <w:rPr>
                      <w:b/>
                      <w:sz w:val="18"/>
                    </w:rPr>
                    <w:t>Energy Production</w:t>
                  </w:r>
                </w:p>
              </w:tc>
              <w:tc>
                <w:tcPr>
                  <w:tcW w:w="3353" w:type="dxa"/>
                  <w:tcBorders>
                    <w:top w:val="single" w:sz="17" w:space="0" w:color="000000"/>
                    <w:left w:val="single" w:sz="2" w:space="0" w:color="000000"/>
                    <w:bottom w:val="double" w:sz="2" w:space="0" w:color="000000"/>
                    <w:right w:val="nil"/>
                  </w:tcBorders>
                </w:tcPr>
                <w:p w14:paraId="6A0E4C7B" w14:textId="77777777" w:rsidR="00232550" w:rsidRDefault="00232550" w:rsidP="00C22032">
                  <w:pPr>
                    <w:framePr w:wrap="around" w:vAnchor="text" w:hAnchor="margin"/>
                    <w:spacing w:after="0" w:line="259" w:lineRule="auto"/>
                    <w:ind w:right="538" w:firstLine="0"/>
                    <w:suppressOverlap/>
                    <w:jc w:val="left"/>
                  </w:pPr>
                  <w:r>
                    <w:rPr>
                      <w:b/>
                      <w:sz w:val="18"/>
                    </w:rPr>
                    <w:t>Energy Exported from Building for Beneficial Use</w:t>
                  </w:r>
                </w:p>
              </w:tc>
            </w:tr>
            <w:tr w:rsidR="00232550" w14:paraId="55538E2A" w14:textId="77777777" w:rsidTr="00692CC9">
              <w:trPr>
                <w:trHeight w:val="330"/>
              </w:trPr>
              <w:tc>
                <w:tcPr>
                  <w:tcW w:w="4194" w:type="dxa"/>
                  <w:tcBorders>
                    <w:top w:val="double" w:sz="2" w:space="0" w:color="000000"/>
                    <w:left w:val="nil"/>
                    <w:bottom w:val="single" w:sz="2" w:space="0" w:color="000000"/>
                    <w:right w:val="single" w:sz="2" w:space="0" w:color="000000"/>
                  </w:tcBorders>
                </w:tcPr>
                <w:p w14:paraId="2401DDA5" w14:textId="77777777" w:rsidR="00232550" w:rsidRDefault="00232550" w:rsidP="00C22032">
                  <w:pPr>
                    <w:framePr w:wrap="around" w:vAnchor="text" w:hAnchor="margin"/>
                    <w:spacing w:after="0" w:line="259" w:lineRule="auto"/>
                    <w:ind w:firstLine="0"/>
                    <w:suppressOverlap/>
                    <w:jc w:val="left"/>
                  </w:pPr>
                  <w:r>
                    <w:rPr>
                      <w:sz w:val="18"/>
                    </w:rPr>
                    <w:t>1a. Electrical</w:t>
                  </w:r>
                </w:p>
              </w:tc>
              <w:tc>
                <w:tcPr>
                  <w:tcW w:w="2682" w:type="dxa"/>
                  <w:tcBorders>
                    <w:top w:val="double" w:sz="2" w:space="0" w:color="000000"/>
                    <w:left w:val="single" w:sz="2" w:space="0" w:color="000000"/>
                    <w:bottom w:val="single" w:sz="2" w:space="0" w:color="000000"/>
                    <w:right w:val="single" w:sz="2" w:space="0" w:color="000000"/>
                  </w:tcBorders>
                </w:tcPr>
                <w:p w14:paraId="76A0BBCF" w14:textId="77777777" w:rsidR="00232550" w:rsidRDefault="00232550" w:rsidP="00C22032">
                  <w:pPr>
                    <w:framePr w:wrap="around" w:vAnchor="text" w:hAnchor="margin"/>
                    <w:spacing w:after="0" w:line="259" w:lineRule="auto"/>
                    <w:ind w:firstLine="0"/>
                    <w:suppressOverlap/>
                    <w:jc w:val="left"/>
                  </w:pPr>
                  <w:r>
                    <w:rPr>
                      <w:sz w:val="18"/>
                    </w:rPr>
                    <w:t>2a. Electrical</w:t>
                  </w:r>
                </w:p>
              </w:tc>
              <w:tc>
                <w:tcPr>
                  <w:tcW w:w="3353" w:type="dxa"/>
                  <w:tcBorders>
                    <w:top w:val="double" w:sz="2" w:space="0" w:color="000000"/>
                    <w:left w:val="single" w:sz="2" w:space="0" w:color="000000"/>
                    <w:bottom w:val="single" w:sz="2" w:space="0" w:color="000000"/>
                    <w:right w:val="nil"/>
                  </w:tcBorders>
                </w:tcPr>
                <w:p w14:paraId="0F51EF3C" w14:textId="77777777" w:rsidR="00232550" w:rsidRDefault="00232550" w:rsidP="00C22032">
                  <w:pPr>
                    <w:framePr w:wrap="around" w:vAnchor="text" w:hAnchor="margin"/>
                    <w:spacing w:after="0" w:line="259" w:lineRule="auto"/>
                    <w:ind w:left="1" w:firstLine="0"/>
                    <w:suppressOverlap/>
                    <w:jc w:val="left"/>
                  </w:pPr>
                  <w:r>
                    <w:rPr>
                      <w:sz w:val="18"/>
                    </w:rPr>
                    <w:t>3a. Excess solar thermal</w:t>
                  </w:r>
                </w:p>
              </w:tc>
            </w:tr>
            <w:tr w:rsidR="00232550" w14:paraId="0A6A8E05" w14:textId="77777777" w:rsidTr="00692CC9">
              <w:trPr>
                <w:trHeight w:val="330"/>
              </w:trPr>
              <w:tc>
                <w:tcPr>
                  <w:tcW w:w="4194" w:type="dxa"/>
                  <w:tcBorders>
                    <w:top w:val="single" w:sz="2" w:space="0" w:color="000000"/>
                    <w:left w:val="nil"/>
                    <w:bottom w:val="single" w:sz="2" w:space="0" w:color="000000"/>
                    <w:right w:val="single" w:sz="2" w:space="0" w:color="000000"/>
                  </w:tcBorders>
                </w:tcPr>
                <w:p w14:paraId="0181B209" w14:textId="77777777" w:rsidR="00232550" w:rsidRDefault="00232550" w:rsidP="00C22032">
                  <w:pPr>
                    <w:framePr w:wrap="around" w:vAnchor="text" w:hAnchor="margin"/>
                    <w:spacing w:after="0" w:line="259" w:lineRule="auto"/>
                    <w:ind w:firstLine="0"/>
                    <w:suppressOverlap/>
                    <w:jc w:val="left"/>
                  </w:pPr>
                  <w:r>
                    <w:rPr>
                      <w:sz w:val="18"/>
                    </w:rPr>
                    <w:t>1b. Gas</w:t>
                  </w:r>
                </w:p>
              </w:tc>
              <w:tc>
                <w:tcPr>
                  <w:tcW w:w="2682" w:type="dxa"/>
                  <w:tcBorders>
                    <w:top w:val="single" w:sz="2" w:space="0" w:color="000000"/>
                    <w:left w:val="single" w:sz="2" w:space="0" w:color="000000"/>
                    <w:bottom w:val="single" w:sz="2" w:space="0" w:color="000000"/>
                    <w:right w:val="single" w:sz="2" w:space="0" w:color="000000"/>
                  </w:tcBorders>
                </w:tcPr>
                <w:p w14:paraId="6797AF66" w14:textId="77777777" w:rsidR="00232550" w:rsidRDefault="00232550" w:rsidP="00C22032">
                  <w:pPr>
                    <w:framePr w:wrap="around" w:vAnchor="text" w:hAnchor="margin"/>
                    <w:spacing w:after="0" w:line="259" w:lineRule="auto"/>
                    <w:ind w:firstLine="0"/>
                    <w:suppressOverlap/>
                    <w:jc w:val="left"/>
                  </w:pPr>
                  <w:r>
                    <w:rPr>
                      <w:sz w:val="18"/>
                    </w:rPr>
                    <w:t>2b. Thermal</w:t>
                  </w:r>
                </w:p>
              </w:tc>
              <w:tc>
                <w:tcPr>
                  <w:tcW w:w="3353" w:type="dxa"/>
                  <w:tcBorders>
                    <w:top w:val="single" w:sz="2" w:space="0" w:color="000000"/>
                    <w:left w:val="single" w:sz="2" w:space="0" w:color="000000"/>
                    <w:bottom w:val="single" w:sz="2" w:space="0" w:color="000000"/>
                    <w:right w:val="nil"/>
                  </w:tcBorders>
                </w:tcPr>
                <w:p w14:paraId="4130DBBC" w14:textId="77777777" w:rsidR="00232550" w:rsidRDefault="00232550" w:rsidP="00C22032">
                  <w:pPr>
                    <w:framePr w:wrap="around" w:vAnchor="text" w:hAnchor="margin"/>
                    <w:spacing w:after="0" w:line="259" w:lineRule="auto"/>
                    <w:ind w:firstLine="0"/>
                    <w:suppressOverlap/>
                    <w:jc w:val="left"/>
                  </w:pPr>
                  <w:r>
                    <w:rPr>
                      <w:sz w:val="18"/>
                    </w:rPr>
                    <w:t>3b. Excess solar or wind electrical</w:t>
                  </w:r>
                </w:p>
              </w:tc>
            </w:tr>
            <w:tr w:rsidR="00232550" w14:paraId="0B893939" w14:textId="77777777" w:rsidTr="00692CC9">
              <w:trPr>
                <w:trHeight w:val="330"/>
              </w:trPr>
              <w:tc>
                <w:tcPr>
                  <w:tcW w:w="4194" w:type="dxa"/>
                  <w:tcBorders>
                    <w:top w:val="single" w:sz="2" w:space="0" w:color="000000"/>
                    <w:left w:val="nil"/>
                    <w:bottom w:val="single" w:sz="2" w:space="0" w:color="000000"/>
                    <w:right w:val="single" w:sz="2" w:space="0" w:color="000000"/>
                  </w:tcBorders>
                </w:tcPr>
                <w:p w14:paraId="34D71DAC" w14:textId="77777777" w:rsidR="00232550" w:rsidRDefault="00232550" w:rsidP="00C22032">
                  <w:pPr>
                    <w:framePr w:wrap="around" w:vAnchor="text" w:hAnchor="margin"/>
                    <w:spacing w:after="0" w:line="259" w:lineRule="auto"/>
                    <w:ind w:firstLine="0"/>
                    <w:suppressOverlap/>
                    <w:jc w:val="left"/>
                  </w:pPr>
                  <w:r>
                    <w:rPr>
                      <w:sz w:val="18"/>
                    </w:rPr>
                    <w:t>1c. Steam/hot-water (HW)/chilled and hot water (CHW)</w:t>
                  </w:r>
                </w:p>
              </w:tc>
              <w:tc>
                <w:tcPr>
                  <w:tcW w:w="2682" w:type="dxa"/>
                  <w:tcBorders>
                    <w:top w:val="single" w:sz="2" w:space="0" w:color="000000"/>
                    <w:left w:val="single" w:sz="2" w:space="0" w:color="000000"/>
                    <w:bottom w:val="single" w:sz="2" w:space="0" w:color="000000"/>
                    <w:right w:val="single" w:sz="2" w:space="0" w:color="000000"/>
                  </w:tcBorders>
                </w:tcPr>
                <w:p w14:paraId="3B9A30BE" w14:textId="77777777" w:rsidR="00232550" w:rsidRDefault="00232550" w:rsidP="00C22032">
                  <w:pPr>
                    <w:framePr w:wrap="around" w:vAnchor="text" w:hAnchor="margin"/>
                    <w:spacing w:after="160" w:line="259" w:lineRule="auto"/>
                    <w:ind w:firstLine="0"/>
                    <w:suppressOverlap/>
                    <w:jc w:val="left"/>
                  </w:pPr>
                </w:p>
              </w:tc>
              <w:tc>
                <w:tcPr>
                  <w:tcW w:w="3353" w:type="dxa"/>
                  <w:tcBorders>
                    <w:top w:val="single" w:sz="2" w:space="0" w:color="000000"/>
                    <w:left w:val="single" w:sz="2" w:space="0" w:color="000000"/>
                    <w:bottom w:val="single" w:sz="2" w:space="0" w:color="000000"/>
                    <w:right w:val="nil"/>
                  </w:tcBorders>
                </w:tcPr>
                <w:p w14:paraId="254CBA06" w14:textId="77777777" w:rsidR="00232550" w:rsidRDefault="00232550" w:rsidP="00C22032">
                  <w:pPr>
                    <w:framePr w:wrap="around" w:vAnchor="text" w:hAnchor="margin"/>
                    <w:spacing w:after="0" w:line="259" w:lineRule="auto"/>
                    <w:ind w:left="1" w:firstLine="0"/>
                    <w:suppressOverlap/>
                    <w:jc w:val="left"/>
                  </w:pPr>
                  <w:r>
                    <w:rPr>
                      <w:sz w:val="18"/>
                    </w:rPr>
                    <w:t>3c. Recovered thermal energy</w:t>
                  </w:r>
                </w:p>
              </w:tc>
            </w:tr>
            <w:tr w:rsidR="00232550" w14:paraId="7499D0B7" w14:textId="77777777" w:rsidTr="00692CC9">
              <w:trPr>
                <w:trHeight w:val="330"/>
              </w:trPr>
              <w:tc>
                <w:tcPr>
                  <w:tcW w:w="4194" w:type="dxa"/>
                  <w:tcBorders>
                    <w:top w:val="single" w:sz="2" w:space="0" w:color="000000"/>
                    <w:left w:val="nil"/>
                    <w:bottom w:val="single" w:sz="2" w:space="0" w:color="000000"/>
                    <w:right w:val="single" w:sz="2" w:space="0" w:color="000000"/>
                  </w:tcBorders>
                </w:tcPr>
                <w:p w14:paraId="2A64E64C" w14:textId="77777777" w:rsidR="00232550" w:rsidRDefault="00232550" w:rsidP="00C22032">
                  <w:pPr>
                    <w:framePr w:wrap="around" w:vAnchor="text" w:hAnchor="margin"/>
                    <w:spacing w:after="0" w:line="259" w:lineRule="auto"/>
                    <w:ind w:firstLine="0"/>
                    <w:suppressOverlap/>
                    <w:jc w:val="left"/>
                  </w:pPr>
                  <w:r>
                    <w:rPr>
                      <w:sz w:val="18"/>
                    </w:rPr>
                    <w:t>1d. Bulk fuel (coal/biomass/propane/oil)</w:t>
                  </w:r>
                </w:p>
              </w:tc>
              <w:tc>
                <w:tcPr>
                  <w:tcW w:w="2682" w:type="dxa"/>
                  <w:tcBorders>
                    <w:top w:val="single" w:sz="2" w:space="0" w:color="000000"/>
                    <w:left w:val="single" w:sz="2" w:space="0" w:color="000000"/>
                    <w:bottom w:val="single" w:sz="2" w:space="0" w:color="000000"/>
                    <w:right w:val="single" w:sz="2" w:space="0" w:color="000000"/>
                  </w:tcBorders>
                </w:tcPr>
                <w:p w14:paraId="7BE3B9FD" w14:textId="77777777" w:rsidR="00232550" w:rsidRDefault="00232550" w:rsidP="00C22032">
                  <w:pPr>
                    <w:framePr w:wrap="around" w:vAnchor="text" w:hAnchor="margin"/>
                    <w:spacing w:after="160" w:line="259" w:lineRule="auto"/>
                    <w:ind w:firstLine="0"/>
                    <w:suppressOverlap/>
                    <w:jc w:val="left"/>
                  </w:pPr>
                </w:p>
              </w:tc>
              <w:tc>
                <w:tcPr>
                  <w:tcW w:w="3353" w:type="dxa"/>
                  <w:tcBorders>
                    <w:top w:val="single" w:sz="2" w:space="0" w:color="000000"/>
                    <w:left w:val="single" w:sz="2" w:space="0" w:color="000000"/>
                    <w:bottom w:val="single" w:sz="2" w:space="0" w:color="000000"/>
                    <w:right w:val="nil"/>
                  </w:tcBorders>
                </w:tcPr>
                <w:p w14:paraId="6A630A94" w14:textId="77777777" w:rsidR="00232550" w:rsidRDefault="00232550" w:rsidP="00C22032">
                  <w:pPr>
                    <w:framePr w:wrap="around" w:vAnchor="text" w:hAnchor="margin"/>
                    <w:spacing w:after="0" w:line="259" w:lineRule="auto"/>
                    <w:ind w:firstLine="0"/>
                    <w:suppressOverlap/>
                    <w:jc w:val="left"/>
                  </w:pPr>
                  <w:r>
                    <w:rPr>
                      <w:sz w:val="18"/>
                    </w:rPr>
                    <w:t>3d. Excess co-gen electrical</w:t>
                  </w:r>
                </w:p>
              </w:tc>
            </w:tr>
            <w:tr w:rsidR="00232550" w14:paraId="31DC49DC" w14:textId="77777777" w:rsidTr="00692CC9">
              <w:trPr>
                <w:trHeight w:val="330"/>
              </w:trPr>
              <w:tc>
                <w:tcPr>
                  <w:tcW w:w="4194" w:type="dxa"/>
                  <w:tcBorders>
                    <w:top w:val="single" w:sz="2" w:space="0" w:color="000000"/>
                    <w:left w:val="nil"/>
                    <w:bottom w:val="single" w:sz="17" w:space="0" w:color="000000"/>
                    <w:right w:val="single" w:sz="2" w:space="0" w:color="000000"/>
                  </w:tcBorders>
                </w:tcPr>
                <w:p w14:paraId="4BE8ED79" w14:textId="77777777" w:rsidR="00232550" w:rsidRDefault="00232550" w:rsidP="00C22032">
                  <w:pPr>
                    <w:framePr w:wrap="around" w:vAnchor="text" w:hAnchor="margin"/>
                    <w:spacing w:after="160" w:line="259" w:lineRule="auto"/>
                    <w:ind w:firstLine="0"/>
                    <w:suppressOverlap/>
                    <w:jc w:val="left"/>
                  </w:pPr>
                </w:p>
              </w:tc>
              <w:tc>
                <w:tcPr>
                  <w:tcW w:w="2682" w:type="dxa"/>
                  <w:tcBorders>
                    <w:top w:val="single" w:sz="2" w:space="0" w:color="000000"/>
                    <w:left w:val="single" w:sz="2" w:space="0" w:color="000000"/>
                    <w:bottom w:val="single" w:sz="17" w:space="0" w:color="000000"/>
                    <w:right w:val="single" w:sz="2" w:space="0" w:color="000000"/>
                  </w:tcBorders>
                </w:tcPr>
                <w:p w14:paraId="41EB1180" w14:textId="77777777" w:rsidR="00232550" w:rsidRDefault="00232550" w:rsidP="00C22032">
                  <w:pPr>
                    <w:framePr w:wrap="around" w:vAnchor="text" w:hAnchor="margin"/>
                    <w:spacing w:after="160" w:line="259" w:lineRule="auto"/>
                    <w:ind w:firstLine="0"/>
                    <w:suppressOverlap/>
                    <w:jc w:val="left"/>
                  </w:pPr>
                </w:p>
              </w:tc>
              <w:tc>
                <w:tcPr>
                  <w:tcW w:w="3353" w:type="dxa"/>
                  <w:tcBorders>
                    <w:top w:val="single" w:sz="2" w:space="0" w:color="000000"/>
                    <w:left w:val="single" w:sz="2" w:space="0" w:color="000000"/>
                    <w:bottom w:val="single" w:sz="17" w:space="0" w:color="000000"/>
                    <w:right w:val="nil"/>
                  </w:tcBorders>
                </w:tcPr>
                <w:p w14:paraId="720B2D78" w14:textId="77777777" w:rsidR="00232550" w:rsidRDefault="00232550" w:rsidP="00C22032">
                  <w:pPr>
                    <w:framePr w:wrap="around" w:vAnchor="text" w:hAnchor="margin"/>
                    <w:spacing w:after="0" w:line="259" w:lineRule="auto"/>
                    <w:ind w:firstLine="0"/>
                    <w:suppressOverlap/>
                    <w:jc w:val="left"/>
                  </w:pPr>
                  <w:r>
                    <w:rPr>
                      <w:sz w:val="18"/>
                    </w:rPr>
                    <w:t>3e. Excess co-gen thermal</w:t>
                  </w:r>
                </w:p>
              </w:tc>
            </w:tr>
          </w:tbl>
          <w:p w14:paraId="6B0A3ABC" w14:textId="77777777" w:rsidR="00232550" w:rsidRDefault="00232550" w:rsidP="00692CC9">
            <w:pPr>
              <w:spacing w:after="160" w:line="259" w:lineRule="auto"/>
              <w:ind w:firstLine="0"/>
              <w:jc w:val="left"/>
            </w:pPr>
          </w:p>
        </w:tc>
      </w:tr>
    </w:tbl>
    <w:p w14:paraId="5409DE98" w14:textId="77777777" w:rsidR="00232550" w:rsidRDefault="00232550" w:rsidP="00232550">
      <w:pPr>
        <w:ind w:left="134" w:right="13" w:firstLine="0"/>
      </w:pPr>
    </w:p>
    <w:p w14:paraId="19AD56CC" w14:textId="77777777" w:rsidR="00232550" w:rsidRDefault="00232550">
      <w:pPr>
        <w:spacing w:after="160" w:line="259" w:lineRule="auto"/>
        <w:ind w:firstLine="0"/>
        <w:jc w:val="left"/>
        <w:rPr>
          <w:rFonts w:ascii="Arial" w:eastAsia="Arial" w:hAnsi="Arial" w:cs="Arial"/>
          <w:b/>
          <w:color w:val="231F20"/>
          <w:sz w:val="17"/>
        </w:rPr>
      </w:pPr>
      <w:r>
        <w:rPr>
          <w:rFonts w:ascii="Arial" w:eastAsia="Arial" w:hAnsi="Arial" w:cs="Arial"/>
          <w:b/>
          <w:color w:val="231F20"/>
          <w:sz w:val="17"/>
        </w:rPr>
        <w:br w:type="page"/>
      </w:r>
    </w:p>
    <w:p w14:paraId="29E780F7" w14:textId="77777777" w:rsidR="00232550" w:rsidRDefault="00232550" w:rsidP="00232550">
      <w:pPr>
        <w:spacing w:after="0" w:line="259" w:lineRule="auto"/>
        <w:ind w:left="-5" w:hanging="10"/>
        <w:jc w:val="left"/>
      </w:pPr>
      <w:r>
        <w:rPr>
          <w:rFonts w:ascii="Arial" w:eastAsia="Arial" w:hAnsi="Arial" w:cs="Arial"/>
          <w:b/>
          <w:color w:val="231F20"/>
          <w:sz w:val="17"/>
        </w:rPr>
        <w:t>Table 5-2a Site Energy Conversion Factors</w:t>
      </w:r>
    </w:p>
    <w:tbl>
      <w:tblPr>
        <w:tblStyle w:val="TableGrid"/>
        <w:tblW w:w="4950" w:type="dxa"/>
        <w:tblInd w:w="0" w:type="dxa"/>
        <w:tblCellMar>
          <w:top w:w="98" w:type="dxa"/>
          <w:right w:w="115" w:type="dxa"/>
        </w:tblCellMar>
        <w:tblLook w:val="04A0" w:firstRow="1" w:lastRow="0" w:firstColumn="1" w:lastColumn="0" w:noHBand="0" w:noVBand="1"/>
      </w:tblPr>
      <w:tblGrid>
        <w:gridCol w:w="1748"/>
        <w:gridCol w:w="1641"/>
        <w:gridCol w:w="1561"/>
      </w:tblGrid>
      <w:tr w:rsidR="00232550" w14:paraId="620AA43E" w14:textId="77777777" w:rsidTr="00692CC9">
        <w:trPr>
          <w:trHeight w:val="360"/>
        </w:trPr>
        <w:tc>
          <w:tcPr>
            <w:tcW w:w="1748" w:type="dxa"/>
            <w:tcBorders>
              <w:top w:val="single" w:sz="17" w:space="0" w:color="231F20"/>
              <w:left w:val="nil"/>
              <w:bottom w:val="double" w:sz="2" w:space="0" w:color="231F20"/>
              <w:right w:val="nil"/>
            </w:tcBorders>
          </w:tcPr>
          <w:p w14:paraId="314B47B1" w14:textId="77777777" w:rsidR="00232550" w:rsidRDefault="00232550" w:rsidP="00692CC9">
            <w:pPr>
              <w:spacing w:after="0" w:line="259" w:lineRule="auto"/>
              <w:ind w:left="80" w:firstLine="0"/>
              <w:jc w:val="left"/>
            </w:pPr>
            <w:r>
              <w:rPr>
                <w:b/>
                <w:color w:val="231F20"/>
                <w:sz w:val="18"/>
              </w:rPr>
              <w:t>Fuel Oils</w:t>
            </w:r>
          </w:p>
        </w:tc>
        <w:tc>
          <w:tcPr>
            <w:tcW w:w="1641" w:type="dxa"/>
            <w:tcBorders>
              <w:top w:val="single" w:sz="17" w:space="0" w:color="231F20"/>
              <w:left w:val="nil"/>
              <w:bottom w:val="double" w:sz="2" w:space="0" w:color="231F20"/>
              <w:right w:val="nil"/>
            </w:tcBorders>
          </w:tcPr>
          <w:p w14:paraId="300A217A" w14:textId="77777777" w:rsidR="00232550" w:rsidRDefault="00232550" w:rsidP="00692CC9">
            <w:pPr>
              <w:spacing w:after="0" w:line="259" w:lineRule="auto"/>
              <w:ind w:firstLine="0"/>
              <w:jc w:val="left"/>
            </w:pPr>
            <w:r>
              <w:rPr>
                <w:b/>
                <w:color w:val="231F20"/>
                <w:sz w:val="18"/>
              </w:rPr>
              <w:t>kJ/L</w:t>
            </w:r>
          </w:p>
        </w:tc>
        <w:tc>
          <w:tcPr>
            <w:tcW w:w="1561" w:type="dxa"/>
            <w:tcBorders>
              <w:top w:val="single" w:sz="17" w:space="0" w:color="231F20"/>
              <w:left w:val="nil"/>
              <w:bottom w:val="double" w:sz="2" w:space="0" w:color="231F20"/>
              <w:right w:val="nil"/>
            </w:tcBorders>
          </w:tcPr>
          <w:p w14:paraId="0FB30670" w14:textId="77777777" w:rsidR="00232550" w:rsidRDefault="00232550" w:rsidP="00692CC9">
            <w:pPr>
              <w:spacing w:after="0" w:line="259" w:lineRule="auto"/>
              <w:ind w:firstLine="0"/>
              <w:jc w:val="left"/>
            </w:pPr>
            <w:r>
              <w:rPr>
                <w:b/>
                <w:color w:val="231F20"/>
                <w:sz w:val="18"/>
              </w:rPr>
              <w:t>Btu/U.S. gal</w:t>
            </w:r>
          </w:p>
        </w:tc>
      </w:tr>
      <w:tr w:rsidR="00232550" w14:paraId="341DAAEA" w14:textId="77777777" w:rsidTr="00692CC9">
        <w:trPr>
          <w:trHeight w:val="377"/>
        </w:trPr>
        <w:tc>
          <w:tcPr>
            <w:tcW w:w="1748" w:type="dxa"/>
            <w:tcBorders>
              <w:top w:val="double" w:sz="2" w:space="0" w:color="231F20"/>
              <w:left w:val="nil"/>
              <w:bottom w:val="nil"/>
              <w:right w:val="nil"/>
            </w:tcBorders>
          </w:tcPr>
          <w:p w14:paraId="4D4BC925" w14:textId="77777777" w:rsidR="00232550" w:rsidRDefault="00232550" w:rsidP="00692CC9">
            <w:pPr>
              <w:spacing w:after="0" w:line="259" w:lineRule="auto"/>
              <w:ind w:left="80" w:firstLine="0"/>
              <w:jc w:val="left"/>
            </w:pPr>
            <w:r>
              <w:rPr>
                <w:color w:val="231F20"/>
                <w:sz w:val="18"/>
              </w:rPr>
              <w:t>#1</w:t>
            </w:r>
          </w:p>
        </w:tc>
        <w:tc>
          <w:tcPr>
            <w:tcW w:w="1641" w:type="dxa"/>
            <w:tcBorders>
              <w:top w:val="double" w:sz="2" w:space="0" w:color="231F20"/>
              <w:left w:val="nil"/>
              <w:bottom w:val="nil"/>
              <w:right w:val="nil"/>
            </w:tcBorders>
          </w:tcPr>
          <w:p w14:paraId="6F707C7C" w14:textId="77777777" w:rsidR="00232550" w:rsidRDefault="00232550" w:rsidP="00692CC9">
            <w:pPr>
              <w:spacing w:after="0" w:line="259" w:lineRule="auto"/>
              <w:ind w:firstLine="0"/>
              <w:jc w:val="left"/>
            </w:pPr>
            <w:r>
              <w:rPr>
                <w:color w:val="231F20"/>
                <w:sz w:val="18"/>
              </w:rPr>
              <w:t>37,600</w:t>
            </w:r>
          </w:p>
        </w:tc>
        <w:tc>
          <w:tcPr>
            <w:tcW w:w="1561" w:type="dxa"/>
            <w:tcBorders>
              <w:top w:val="double" w:sz="2" w:space="0" w:color="231F20"/>
              <w:left w:val="nil"/>
              <w:bottom w:val="nil"/>
              <w:right w:val="nil"/>
            </w:tcBorders>
          </w:tcPr>
          <w:p w14:paraId="49649E67" w14:textId="77777777" w:rsidR="00232550" w:rsidRDefault="00232550" w:rsidP="00692CC9">
            <w:pPr>
              <w:spacing w:after="0" w:line="259" w:lineRule="auto"/>
              <w:ind w:firstLine="0"/>
              <w:jc w:val="left"/>
            </w:pPr>
            <w:r>
              <w:rPr>
                <w:color w:val="231F20"/>
                <w:sz w:val="18"/>
              </w:rPr>
              <w:t>135,000</w:t>
            </w:r>
          </w:p>
        </w:tc>
      </w:tr>
      <w:tr w:rsidR="00232550" w14:paraId="56E6060C" w14:textId="77777777" w:rsidTr="00692CC9">
        <w:trPr>
          <w:trHeight w:val="360"/>
        </w:trPr>
        <w:tc>
          <w:tcPr>
            <w:tcW w:w="1748" w:type="dxa"/>
            <w:tcBorders>
              <w:top w:val="nil"/>
              <w:left w:val="nil"/>
              <w:bottom w:val="nil"/>
              <w:right w:val="nil"/>
            </w:tcBorders>
          </w:tcPr>
          <w:p w14:paraId="71329026" w14:textId="77777777" w:rsidR="00232550" w:rsidRDefault="00232550" w:rsidP="00692CC9">
            <w:pPr>
              <w:spacing w:after="0" w:line="259" w:lineRule="auto"/>
              <w:ind w:left="80" w:firstLine="0"/>
              <w:jc w:val="left"/>
            </w:pPr>
            <w:r>
              <w:rPr>
                <w:color w:val="231F20"/>
                <w:sz w:val="18"/>
              </w:rPr>
              <w:t>#2</w:t>
            </w:r>
          </w:p>
        </w:tc>
        <w:tc>
          <w:tcPr>
            <w:tcW w:w="1641" w:type="dxa"/>
            <w:tcBorders>
              <w:top w:val="nil"/>
              <w:left w:val="nil"/>
              <w:bottom w:val="nil"/>
              <w:right w:val="nil"/>
            </w:tcBorders>
          </w:tcPr>
          <w:p w14:paraId="3BD0E409" w14:textId="77777777" w:rsidR="00232550" w:rsidRDefault="00232550" w:rsidP="00692CC9">
            <w:pPr>
              <w:spacing w:after="0" w:line="259" w:lineRule="auto"/>
              <w:ind w:firstLine="0"/>
              <w:jc w:val="left"/>
            </w:pPr>
            <w:r>
              <w:rPr>
                <w:color w:val="231F20"/>
                <w:sz w:val="18"/>
              </w:rPr>
              <w:t>38,700</w:t>
            </w:r>
          </w:p>
        </w:tc>
        <w:tc>
          <w:tcPr>
            <w:tcW w:w="1561" w:type="dxa"/>
            <w:tcBorders>
              <w:top w:val="nil"/>
              <w:left w:val="nil"/>
              <w:bottom w:val="nil"/>
              <w:right w:val="nil"/>
            </w:tcBorders>
          </w:tcPr>
          <w:p w14:paraId="57C90C34" w14:textId="77777777" w:rsidR="00232550" w:rsidRDefault="00232550" w:rsidP="00692CC9">
            <w:pPr>
              <w:spacing w:after="0" w:line="259" w:lineRule="auto"/>
              <w:ind w:firstLine="0"/>
              <w:jc w:val="left"/>
            </w:pPr>
            <w:r>
              <w:rPr>
                <w:color w:val="231F20"/>
                <w:sz w:val="18"/>
              </w:rPr>
              <w:t>139,000</w:t>
            </w:r>
          </w:p>
        </w:tc>
      </w:tr>
      <w:tr w:rsidR="00232550" w14:paraId="6FE1DF90" w14:textId="77777777" w:rsidTr="00692CC9">
        <w:trPr>
          <w:trHeight w:val="360"/>
        </w:trPr>
        <w:tc>
          <w:tcPr>
            <w:tcW w:w="1748" w:type="dxa"/>
            <w:tcBorders>
              <w:top w:val="nil"/>
              <w:left w:val="nil"/>
              <w:bottom w:val="nil"/>
              <w:right w:val="nil"/>
            </w:tcBorders>
          </w:tcPr>
          <w:p w14:paraId="5182EE6C" w14:textId="77777777" w:rsidR="00232550" w:rsidRDefault="00232550" w:rsidP="00692CC9">
            <w:pPr>
              <w:spacing w:after="0" w:line="259" w:lineRule="auto"/>
              <w:ind w:left="81" w:firstLine="0"/>
              <w:jc w:val="left"/>
            </w:pPr>
            <w:r>
              <w:rPr>
                <w:color w:val="231F20"/>
                <w:sz w:val="18"/>
              </w:rPr>
              <w:t>#4</w:t>
            </w:r>
          </w:p>
        </w:tc>
        <w:tc>
          <w:tcPr>
            <w:tcW w:w="1641" w:type="dxa"/>
            <w:tcBorders>
              <w:top w:val="nil"/>
              <w:left w:val="nil"/>
              <w:bottom w:val="nil"/>
              <w:right w:val="nil"/>
            </w:tcBorders>
          </w:tcPr>
          <w:p w14:paraId="27018CF0" w14:textId="77777777" w:rsidR="00232550" w:rsidRDefault="00232550" w:rsidP="00692CC9">
            <w:pPr>
              <w:spacing w:after="0" w:line="259" w:lineRule="auto"/>
              <w:ind w:left="1" w:firstLine="0"/>
              <w:jc w:val="left"/>
            </w:pPr>
            <w:r>
              <w:rPr>
                <w:color w:val="231F20"/>
                <w:sz w:val="18"/>
              </w:rPr>
              <w:t>40,700</w:t>
            </w:r>
          </w:p>
        </w:tc>
        <w:tc>
          <w:tcPr>
            <w:tcW w:w="1561" w:type="dxa"/>
            <w:tcBorders>
              <w:top w:val="nil"/>
              <w:left w:val="nil"/>
              <w:bottom w:val="nil"/>
              <w:right w:val="nil"/>
            </w:tcBorders>
          </w:tcPr>
          <w:p w14:paraId="018895A7" w14:textId="77777777" w:rsidR="00232550" w:rsidRDefault="00232550" w:rsidP="00692CC9">
            <w:pPr>
              <w:spacing w:after="0" w:line="259" w:lineRule="auto"/>
              <w:ind w:left="1" w:firstLine="0"/>
              <w:jc w:val="left"/>
            </w:pPr>
            <w:r>
              <w:rPr>
                <w:color w:val="231F20"/>
                <w:sz w:val="18"/>
              </w:rPr>
              <w:t>146,000</w:t>
            </w:r>
          </w:p>
        </w:tc>
      </w:tr>
      <w:tr w:rsidR="00232550" w14:paraId="11B7DABB" w14:textId="77777777" w:rsidTr="00692CC9">
        <w:trPr>
          <w:trHeight w:val="360"/>
        </w:trPr>
        <w:tc>
          <w:tcPr>
            <w:tcW w:w="1748" w:type="dxa"/>
            <w:tcBorders>
              <w:top w:val="nil"/>
              <w:left w:val="nil"/>
              <w:bottom w:val="nil"/>
              <w:right w:val="nil"/>
            </w:tcBorders>
          </w:tcPr>
          <w:p w14:paraId="474A847C" w14:textId="77777777" w:rsidR="00232550" w:rsidRDefault="00232550" w:rsidP="00692CC9">
            <w:pPr>
              <w:spacing w:after="0" w:line="259" w:lineRule="auto"/>
              <w:ind w:left="81" w:firstLine="0"/>
              <w:jc w:val="left"/>
            </w:pPr>
            <w:r>
              <w:rPr>
                <w:color w:val="231F20"/>
                <w:sz w:val="18"/>
              </w:rPr>
              <w:t>#5L</w:t>
            </w:r>
          </w:p>
        </w:tc>
        <w:tc>
          <w:tcPr>
            <w:tcW w:w="1641" w:type="dxa"/>
            <w:tcBorders>
              <w:top w:val="nil"/>
              <w:left w:val="nil"/>
              <w:bottom w:val="nil"/>
              <w:right w:val="nil"/>
            </w:tcBorders>
          </w:tcPr>
          <w:p w14:paraId="10C96117" w14:textId="77777777" w:rsidR="00232550" w:rsidRDefault="00232550" w:rsidP="00692CC9">
            <w:pPr>
              <w:spacing w:after="0" w:line="259" w:lineRule="auto"/>
              <w:ind w:left="1" w:firstLine="0"/>
              <w:jc w:val="left"/>
            </w:pPr>
            <w:r>
              <w:rPr>
                <w:color w:val="231F20"/>
                <w:sz w:val="18"/>
              </w:rPr>
              <w:t>41,300</w:t>
            </w:r>
          </w:p>
        </w:tc>
        <w:tc>
          <w:tcPr>
            <w:tcW w:w="1561" w:type="dxa"/>
            <w:tcBorders>
              <w:top w:val="nil"/>
              <w:left w:val="nil"/>
              <w:bottom w:val="nil"/>
              <w:right w:val="nil"/>
            </w:tcBorders>
          </w:tcPr>
          <w:p w14:paraId="189E733E" w14:textId="77777777" w:rsidR="00232550" w:rsidRDefault="00232550" w:rsidP="00692CC9">
            <w:pPr>
              <w:spacing w:after="0" w:line="259" w:lineRule="auto"/>
              <w:ind w:left="1" w:firstLine="0"/>
              <w:jc w:val="left"/>
            </w:pPr>
            <w:r>
              <w:rPr>
                <w:color w:val="231F20"/>
                <w:sz w:val="18"/>
              </w:rPr>
              <w:t>148,000</w:t>
            </w:r>
          </w:p>
        </w:tc>
      </w:tr>
      <w:tr w:rsidR="00232550" w14:paraId="29D31CB5" w14:textId="77777777" w:rsidTr="00692CC9">
        <w:trPr>
          <w:trHeight w:val="360"/>
        </w:trPr>
        <w:tc>
          <w:tcPr>
            <w:tcW w:w="1748" w:type="dxa"/>
            <w:tcBorders>
              <w:top w:val="nil"/>
              <w:left w:val="nil"/>
              <w:bottom w:val="nil"/>
              <w:right w:val="nil"/>
            </w:tcBorders>
          </w:tcPr>
          <w:p w14:paraId="554EFD2B" w14:textId="77777777" w:rsidR="00232550" w:rsidRDefault="00232550" w:rsidP="00692CC9">
            <w:pPr>
              <w:spacing w:after="0" w:line="259" w:lineRule="auto"/>
              <w:ind w:left="81" w:firstLine="0"/>
              <w:jc w:val="left"/>
            </w:pPr>
            <w:r>
              <w:rPr>
                <w:color w:val="231F20"/>
                <w:sz w:val="18"/>
              </w:rPr>
              <w:t>#5H</w:t>
            </w:r>
          </w:p>
        </w:tc>
        <w:tc>
          <w:tcPr>
            <w:tcW w:w="1641" w:type="dxa"/>
            <w:tcBorders>
              <w:top w:val="nil"/>
              <w:left w:val="nil"/>
              <w:bottom w:val="nil"/>
              <w:right w:val="nil"/>
            </w:tcBorders>
          </w:tcPr>
          <w:p w14:paraId="52532E2A" w14:textId="77777777" w:rsidR="00232550" w:rsidRDefault="00232550" w:rsidP="00692CC9">
            <w:pPr>
              <w:spacing w:after="0" w:line="259" w:lineRule="auto"/>
              <w:ind w:left="1" w:firstLine="0"/>
              <w:jc w:val="left"/>
            </w:pPr>
            <w:r>
              <w:rPr>
                <w:color w:val="231F20"/>
                <w:sz w:val="18"/>
              </w:rPr>
              <w:t>41,800</w:t>
            </w:r>
          </w:p>
        </w:tc>
        <w:tc>
          <w:tcPr>
            <w:tcW w:w="1561" w:type="dxa"/>
            <w:tcBorders>
              <w:top w:val="nil"/>
              <w:left w:val="nil"/>
              <w:bottom w:val="nil"/>
              <w:right w:val="nil"/>
            </w:tcBorders>
          </w:tcPr>
          <w:p w14:paraId="5C1EEF67" w14:textId="77777777" w:rsidR="00232550" w:rsidRDefault="00232550" w:rsidP="00692CC9">
            <w:pPr>
              <w:spacing w:after="0" w:line="259" w:lineRule="auto"/>
              <w:ind w:left="1" w:firstLine="0"/>
              <w:jc w:val="left"/>
            </w:pPr>
            <w:r>
              <w:rPr>
                <w:color w:val="231F20"/>
                <w:sz w:val="18"/>
              </w:rPr>
              <w:t>150,000</w:t>
            </w:r>
          </w:p>
        </w:tc>
      </w:tr>
      <w:tr w:rsidR="00232550" w14:paraId="3711FAF2" w14:textId="77777777" w:rsidTr="00692CC9">
        <w:trPr>
          <w:trHeight w:val="343"/>
        </w:trPr>
        <w:tc>
          <w:tcPr>
            <w:tcW w:w="1748" w:type="dxa"/>
            <w:tcBorders>
              <w:top w:val="nil"/>
              <w:left w:val="nil"/>
              <w:bottom w:val="single" w:sz="2" w:space="0" w:color="231F20"/>
              <w:right w:val="nil"/>
            </w:tcBorders>
          </w:tcPr>
          <w:p w14:paraId="230120E0" w14:textId="77777777" w:rsidR="00232550" w:rsidRDefault="00232550" w:rsidP="00692CC9">
            <w:pPr>
              <w:spacing w:after="0" w:line="259" w:lineRule="auto"/>
              <w:ind w:left="81" w:firstLine="0"/>
              <w:jc w:val="left"/>
            </w:pPr>
            <w:r>
              <w:rPr>
                <w:color w:val="231F20"/>
                <w:sz w:val="18"/>
              </w:rPr>
              <w:t>#6</w:t>
            </w:r>
          </w:p>
        </w:tc>
        <w:tc>
          <w:tcPr>
            <w:tcW w:w="1641" w:type="dxa"/>
            <w:tcBorders>
              <w:top w:val="nil"/>
              <w:left w:val="nil"/>
              <w:bottom w:val="single" w:sz="2" w:space="0" w:color="231F20"/>
              <w:right w:val="nil"/>
            </w:tcBorders>
          </w:tcPr>
          <w:p w14:paraId="7D56F209" w14:textId="77777777" w:rsidR="00232550" w:rsidRDefault="00232550" w:rsidP="00692CC9">
            <w:pPr>
              <w:spacing w:after="0" w:line="259" w:lineRule="auto"/>
              <w:ind w:left="1" w:firstLine="0"/>
              <w:jc w:val="left"/>
            </w:pPr>
            <w:r>
              <w:rPr>
                <w:color w:val="231F20"/>
                <w:sz w:val="18"/>
              </w:rPr>
              <w:t>42,900</w:t>
            </w:r>
          </w:p>
        </w:tc>
        <w:tc>
          <w:tcPr>
            <w:tcW w:w="1561" w:type="dxa"/>
            <w:tcBorders>
              <w:top w:val="nil"/>
              <w:left w:val="nil"/>
              <w:bottom w:val="single" w:sz="2" w:space="0" w:color="231F20"/>
              <w:right w:val="nil"/>
            </w:tcBorders>
          </w:tcPr>
          <w:p w14:paraId="0B903A1C" w14:textId="77777777" w:rsidR="00232550" w:rsidRDefault="00232550" w:rsidP="00692CC9">
            <w:pPr>
              <w:spacing w:after="0" w:line="259" w:lineRule="auto"/>
              <w:ind w:left="1" w:firstLine="0"/>
              <w:jc w:val="left"/>
            </w:pPr>
            <w:r>
              <w:rPr>
                <w:color w:val="231F20"/>
                <w:sz w:val="18"/>
              </w:rPr>
              <w:t>154,000</w:t>
            </w:r>
          </w:p>
        </w:tc>
      </w:tr>
      <w:tr w:rsidR="00232550" w14:paraId="4C084B75" w14:textId="77777777" w:rsidTr="00692CC9">
        <w:trPr>
          <w:trHeight w:val="377"/>
        </w:trPr>
        <w:tc>
          <w:tcPr>
            <w:tcW w:w="1748" w:type="dxa"/>
            <w:tcBorders>
              <w:top w:val="single" w:sz="2" w:space="0" w:color="231F20"/>
              <w:left w:val="nil"/>
              <w:bottom w:val="nil"/>
              <w:right w:val="nil"/>
            </w:tcBorders>
          </w:tcPr>
          <w:p w14:paraId="47D4E749" w14:textId="77777777" w:rsidR="00232550" w:rsidRDefault="00232550" w:rsidP="00692CC9">
            <w:pPr>
              <w:spacing w:after="0" w:line="259" w:lineRule="auto"/>
              <w:ind w:left="81" w:firstLine="0"/>
              <w:jc w:val="left"/>
            </w:pPr>
            <w:r>
              <w:rPr>
                <w:b/>
                <w:color w:val="231F20"/>
                <w:sz w:val="18"/>
              </w:rPr>
              <w:t>Gas</w:t>
            </w:r>
          </w:p>
        </w:tc>
        <w:tc>
          <w:tcPr>
            <w:tcW w:w="1641" w:type="dxa"/>
            <w:tcBorders>
              <w:top w:val="single" w:sz="2" w:space="0" w:color="231F20"/>
              <w:left w:val="nil"/>
              <w:bottom w:val="nil"/>
              <w:right w:val="nil"/>
            </w:tcBorders>
            <w:vAlign w:val="center"/>
          </w:tcPr>
          <w:p w14:paraId="4DB9BF66" w14:textId="77777777" w:rsidR="00232550" w:rsidRDefault="00232550" w:rsidP="00692CC9">
            <w:pPr>
              <w:spacing w:after="0" w:line="259" w:lineRule="auto"/>
              <w:ind w:left="1" w:firstLine="0"/>
              <w:jc w:val="left"/>
            </w:pPr>
            <w:r>
              <w:rPr>
                <w:b/>
                <w:color w:val="231F20"/>
                <w:sz w:val="18"/>
              </w:rPr>
              <w:t>kJ/m</w:t>
            </w:r>
            <w:r>
              <w:rPr>
                <w:b/>
                <w:color w:val="231F20"/>
                <w:sz w:val="18"/>
                <w:vertAlign w:val="superscript"/>
              </w:rPr>
              <w:t>3</w:t>
            </w:r>
          </w:p>
        </w:tc>
        <w:tc>
          <w:tcPr>
            <w:tcW w:w="1561" w:type="dxa"/>
            <w:tcBorders>
              <w:top w:val="single" w:sz="2" w:space="0" w:color="231F20"/>
              <w:left w:val="nil"/>
              <w:bottom w:val="nil"/>
              <w:right w:val="nil"/>
            </w:tcBorders>
            <w:vAlign w:val="center"/>
          </w:tcPr>
          <w:p w14:paraId="69F08AC3" w14:textId="77777777" w:rsidR="00232550" w:rsidRDefault="00232550" w:rsidP="00692CC9">
            <w:pPr>
              <w:spacing w:after="0" w:line="259" w:lineRule="auto"/>
              <w:ind w:firstLine="0"/>
              <w:jc w:val="left"/>
            </w:pPr>
            <w:r>
              <w:rPr>
                <w:b/>
                <w:color w:val="231F20"/>
                <w:sz w:val="18"/>
              </w:rPr>
              <w:t>Btu/ft</w:t>
            </w:r>
            <w:r>
              <w:rPr>
                <w:b/>
                <w:color w:val="231F20"/>
                <w:sz w:val="18"/>
                <w:vertAlign w:val="superscript"/>
              </w:rPr>
              <w:t>3</w:t>
            </w:r>
          </w:p>
        </w:tc>
      </w:tr>
      <w:tr w:rsidR="00232550" w14:paraId="1BFBF2CD" w14:textId="77777777" w:rsidTr="00692CC9">
        <w:trPr>
          <w:trHeight w:val="361"/>
        </w:trPr>
        <w:tc>
          <w:tcPr>
            <w:tcW w:w="1748" w:type="dxa"/>
            <w:tcBorders>
              <w:top w:val="nil"/>
              <w:left w:val="nil"/>
              <w:bottom w:val="nil"/>
              <w:right w:val="nil"/>
            </w:tcBorders>
          </w:tcPr>
          <w:p w14:paraId="7543A191" w14:textId="77777777" w:rsidR="00232550" w:rsidRDefault="00232550" w:rsidP="00692CC9">
            <w:pPr>
              <w:spacing w:after="0" w:line="259" w:lineRule="auto"/>
              <w:ind w:left="80" w:firstLine="0"/>
              <w:jc w:val="left"/>
            </w:pPr>
            <w:r>
              <w:rPr>
                <w:color w:val="231F20"/>
                <w:sz w:val="18"/>
              </w:rPr>
              <w:t>Natural Gas</w:t>
            </w:r>
          </w:p>
        </w:tc>
        <w:tc>
          <w:tcPr>
            <w:tcW w:w="1641" w:type="dxa"/>
            <w:tcBorders>
              <w:top w:val="nil"/>
              <w:left w:val="nil"/>
              <w:bottom w:val="nil"/>
              <w:right w:val="nil"/>
            </w:tcBorders>
          </w:tcPr>
          <w:p w14:paraId="3E9A1E41" w14:textId="77777777" w:rsidR="00232550" w:rsidRDefault="00232550" w:rsidP="00692CC9">
            <w:pPr>
              <w:spacing w:after="0" w:line="259" w:lineRule="auto"/>
              <w:ind w:firstLine="0"/>
              <w:jc w:val="left"/>
            </w:pPr>
            <w:r>
              <w:rPr>
                <w:color w:val="231F20"/>
                <w:sz w:val="18"/>
              </w:rPr>
              <w:t>38,400</w:t>
            </w:r>
          </w:p>
        </w:tc>
        <w:tc>
          <w:tcPr>
            <w:tcW w:w="1561" w:type="dxa"/>
            <w:tcBorders>
              <w:top w:val="nil"/>
              <w:left w:val="nil"/>
              <w:bottom w:val="nil"/>
              <w:right w:val="nil"/>
            </w:tcBorders>
          </w:tcPr>
          <w:p w14:paraId="398770B7" w14:textId="77777777" w:rsidR="00232550" w:rsidRDefault="00232550" w:rsidP="00692CC9">
            <w:pPr>
              <w:spacing w:after="0" w:line="259" w:lineRule="auto"/>
              <w:ind w:firstLine="0"/>
              <w:jc w:val="left"/>
            </w:pPr>
            <w:r>
              <w:rPr>
                <w:color w:val="231F20"/>
                <w:sz w:val="18"/>
              </w:rPr>
              <w:t>1030</w:t>
            </w:r>
          </w:p>
        </w:tc>
      </w:tr>
      <w:tr w:rsidR="00232550" w14:paraId="44DBDB60" w14:textId="77777777" w:rsidTr="00692CC9">
        <w:trPr>
          <w:trHeight w:val="359"/>
        </w:trPr>
        <w:tc>
          <w:tcPr>
            <w:tcW w:w="1748" w:type="dxa"/>
            <w:tcBorders>
              <w:top w:val="nil"/>
              <w:left w:val="nil"/>
              <w:bottom w:val="nil"/>
              <w:right w:val="nil"/>
            </w:tcBorders>
          </w:tcPr>
          <w:p w14:paraId="2B9E5F8A" w14:textId="77777777" w:rsidR="00232550" w:rsidRDefault="00232550" w:rsidP="00692CC9">
            <w:pPr>
              <w:spacing w:after="160" w:line="259" w:lineRule="auto"/>
              <w:ind w:firstLine="0"/>
              <w:jc w:val="left"/>
            </w:pPr>
          </w:p>
        </w:tc>
        <w:tc>
          <w:tcPr>
            <w:tcW w:w="1641" w:type="dxa"/>
            <w:tcBorders>
              <w:top w:val="nil"/>
              <w:left w:val="nil"/>
              <w:bottom w:val="nil"/>
              <w:right w:val="nil"/>
            </w:tcBorders>
          </w:tcPr>
          <w:p w14:paraId="75C40C64" w14:textId="77777777" w:rsidR="00232550" w:rsidRDefault="00232550" w:rsidP="00692CC9">
            <w:pPr>
              <w:spacing w:after="0" w:line="259" w:lineRule="auto"/>
              <w:ind w:firstLine="0"/>
              <w:jc w:val="left"/>
            </w:pPr>
            <w:r>
              <w:rPr>
                <w:b/>
                <w:color w:val="231F20"/>
                <w:sz w:val="18"/>
              </w:rPr>
              <w:t>kJ/L</w:t>
            </w:r>
          </w:p>
        </w:tc>
        <w:tc>
          <w:tcPr>
            <w:tcW w:w="1561" w:type="dxa"/>
            <w:tcBorders>
              <w:top w:val="nil"/>
              <w:left w:val="nil"/>
              <w:bottom w:val="nil"/>
              <w:right w:val="nil"/>
            </w:tcBorders>
          </w:tcPr>
          <w:p w14:paraId="7D1C61AB" w14:textId="77777777" w:rsidR="00232550" w:rsidRDefault="00232550" w:rsidP="00692CC9">
            <w:pPr>
              <w:spacing w:after="0" w:line="259" w:lineRule="auto"/>
              <w:ind w:firstLine="0"/>
              <w:jc w:val="left"/>
            </w:pPr>
            <w:r>
              <w:rPr>
                <w:b/>
                <w:color w:val="231F20"/>
                <w:sz w:val="18"/>
              </w:rPr>
              <w:t>Btu/U.S. gal</w:t>
            </w:r>
          </w:p>
        </w:tc>
      </w:tr>
      <w:tr w:rsidR="00232550" w14:paraId="40B6D512" w14:textId="77777777" w:rsidTr="00692CC9">
        <w:trPr>
          <w:trHeight w:val="343"/>
        </w:trPr>
        <w:tc>
          <w:tcPr>
            <w:tcW w:w="1748" w:type="dxa"/>
            <w:tcBorders>
              <w:top w:val="nil"/>
              <w:left w:val="nil"/>
              <w:bottom w:val="single" w:sz="2" w:space="0" w:color="231F20"/>
              <w:right w:val="nil"/>
            </w:tcBorders>
          </w:tcPr>
          <w:p w14:paraId="417BCE43" w14:textId="77777777" w:rsidR="00232550" w:rsidRDefault="00232550" w:rsidP="00692CC9">
            <w:pPr>
              <w:spacing w:after="0" w:line="259" w:lineRule="auto"/>
              <w:ind w:left="80" w:firstLine="0"/>
              <w:jc w:val="left"/>
            </w:pPr>
            <w:r>
              <w:rPr>
                <w:color w:val="231F20"/>
                <w:sz w:val="18"/>
              </w:rPr>
              <w:t>Propane</w:t>
            </w:r>
          </w:p>
        </w:tc>
        <w:tc>
          <w:tcPr>
            <w:tcW w:w="1641" w:type="dxa"/>
            <w:tcBorders>
              <w:top w:val="nil"/>
              <w:left w:val="nil"/>
              <w:bottom w:val="single" w:sz="2" w:space="0" w:color="231F20"/>
              <w:right w:val="nil"/>
            </w:tcBorders>
          </w:tcPr>
          <w:p w14:paraId="45A4B8C1" w14:textId="77777777" w:rsidR="00232550" w:rsidRDefault="00232550" w:rsidP="00692CC9">
            <w:pPr>
              <w:spacing w:after="0" w:line="259" w:lineRule="auto"/>
              <w:ind w:firstLine="0"/>
              <w:jc w:val="left"/>
            </w:pPr>
            <w:r>
              <w:rPr>
                <w:color w:val="231F20"/>
                <w:sz w:val="18"/>
              </w:rPr>
              <w:t>25,500</w:t>
            </w:r>
          </w:p>
        </w:tc>
        <w:tc>
          <w:tcPr>
            <w:tcW w:w="1561" w:type="dxa"/>
            <w:tcBorders>
              <w:top w:val="nil"/>
              <w:left w:val="nil"/>
              <w:bottom w:val="single" w:sz="2" w:space="0" w:color="231F20"/>
              <w:right w:val="nil"/>
            </w:tcBorders>
          </w:tcPr>
          <w:p w14:paraId="5B50AAD7" w14:textId="77777777" w:rsidR="00232550" w:rsidRDefault="00232550" w:rsidP="00692CC9">
            <w:pPr>
              <w:spacing w:after="0" w:line="259" w:lineRule="auto"/>
              <w:ind w:firstLine="0"/>
              <w:jc w:val="left"/>
            </w:pPr>
            <w:r>
              <w:rPr>
                <w:color w:val="231F20"/>
                <w:sz w:val="18"/>
              </w:rPr>
              <w:t>91,600</w:t>
            </w:r>
          </w:p>
        </w:tc>
      </w:tr>
      <w:tr w:rsidR="00232550" w14:paraId="0F8A53E2" w14:textId="77777777" w:rsidTr="00692CC9">
        <w:trPr>
          <w:trHeight w:val="377"/>
        </w:trPr>
        <w:tc>
          <w:tcPr>
            <w:tcW w:w="1748" w:type="dxa"/>
            <w:tcBorders>
              <w:top w:val="single" w:sz="2" w:space="0" w:color="231F20"/>
              <w:left w:val="nil"/>
              <w:bottom w:val="nil"/>
              <w:right w:val="nil"/>
            </w:tcBorders>
          </w:tcPr>
          <w:p w14:paraId="4118DAA5" w14:textId="77777777" w:rsidR="00232550" w:rsidRDefault="00232550" w:rsidP="00692CC9">
            <w:pPr>
              <w:spacing w:after="0" w:line="259" w:lineRule="auto"/>
              <w:ind w:left="80" w:firstLine="0"/>
              <w:jc w:val="left"/>
            </w:pPr>
            <w:r>
              <w:rPr>
                <w:b/>
                <w:color w:val="231F20"/>
                <w:sz w:val="18"/>
              </w:rPr>
              <w:t>Electricity</w:t>
            </w:r>
          </w:p>
        </w:tc>
        <w:tc>
          <w:tcPr>
            <w:tcW w:w="1641" w:type="dxa"/>
            <w:tcBorders>
              <w:top w:val="single" w:sz="2" w:space="0" w:color="231F20"/>
              <w:left w:val="nil"/>
              <w:bottom w:val="nil"/>
              <w:right w:val="nil"/>
            </w:tcBorders>
          </w:tcPr>
          <w:p w14:paraId="7188D43D" w14:textId="77777777" w:rsidR="00232550" w:rsidRDefault="00232550" w:rsidP="00692CC9">
            <w:pPr>
              <w:spacing w:after="0" w:line="259" w:lineRule="auto"/>
              <w:ind w:firstLine="0"/>
              <w:jc w:val="left"/>
            </w:pPr>
            <w:r>
              <w:rPr>
                <w:b/>
                <w:color w:val="231F20"/>
                <w:sz w:val="18"/>
              </w:rPr>
              <w:t>kJ/kWh</w:t>
            </w:r>
          </w:p>
        </w:tc>
        <w:tc>
          <w:tcPr>
            <w:tcW w:w="1561" w:type="dxa"/>
            <w:tcBorders>
              <w:top w:val="single" w:sz="2" w:space="0" w:color="231F20"/>
              <w:left w:val="nil"/>
              <w:bottom w:val="nil"/>
              <w:right w:val="nil"/>
            </w:tcBorders>
          </w:tcPr>
          <w:p w14:paraId="2943225F" w14:textId="77777777" w:rsidR="00232550" w:rsidRDefault="00232550" w:rsidP="00692CC9">
            <w:pPr>
              <w:spacing w:after="0" w:line="259" w:lineRule="auto"/>
              <w:ind w:firstLine="0"/>
              <w:jc w:val="left"/>
            </w:pPr>
            <w:r>
              <w:rPr>
                <w:b/>
                <w:color w:val="231F20"/>
                <w:sz w:val="18"/>
              </w:rPr>
              <w:t>Btu/kWh</w:t>
            </w:r>
          </w:p>
        </w:tc>
      </w:tr>
      <w:tr w:rsidR="00232550" w14:paraId="550E8DF4" w14:textId="77777777" w:rsidTr="00692CC9">
        <w:trPr>
          <w:trHeight w:val="343"/>
        </w:trPr>
        <w:tc>
          <w:tcPr>
            <w:tcW w:w="1748" w:type="dxa"/>
            <w:tcBorders>
              <w:top w:val="nil"/>
              <w:left w:val="nil"/>
              <w:bottom w:val="single" w:sz="17" w:space="0" w:color="231F20"/>
              <w:right w:val="nil"/>
            </w:tcBorders>
          </w:tcPr>
          <w:p w14:paraId="48C0AF83" w14:textId="77777777" w:rsidR="00232550" w:rsidRDefault="00232550" w:rsidP="00692CC9">
            <w:pPr>
              <w:spacing w:after="160" w:line="259" w:lineRule="auto"/>
              <w:ind w:firstLine="0"/>
              <w:jc w:val="left"/>
            </w:pPr>
          </w:p>
        </w:tc>
        <w:tc>
          <w:tcPr>
            <w:tcW w:w="1641" w:type="dxa"/>
            <w:tcBorders>
              <w:top w:val="nil"/>
              <w:left w:val="nil"/>
              <w:bottom w:val="single" w:sz="17" w:space="0" w:color="231F20"/>
              <w:right w:val="nil"/>
            </w:tcBorders>
          </w:tcPr>
          <w:p w14:paraId="231A0717" w14:textId="77777777" w:rsidR="00232550" w:rsidRDefault="00232550" w:rsidP="00692CC9">
            <w:pPr>
              <w:spacing w:after="0" w:line="259" w:lineRule="auto"/>
              <w:ind w:firstLine="0"/>
              <w:jc w:val="left"/>
            </w:pPr>
            <w:r>
              <w:rPr>
                <w:color w:val="231F20"/>
                <w:sz w:val="18"/>
              </w:rPr>
              <w:t>3600</w:t>
            </w:r>
          </w:p>
        </w:tc>
        <w:tc>
          <w:tcPr>
            <w:tcW w:w="1561" w:type="dxa"/>
            <w:tcBorders>
              <w:top w:val="nil"/>
              <w:left w:val="nil"/>
              <w:bottom w:val="single" w:sz="17" w:space="0" w:color="231F20"/>
              <w:right w:val="nil"/>
            </w:tcBorders>
          </w:tcPr>
          <w:p w14:paraId="388EB04F" w14:textId="77777777" w:rsidR="00232550" w:rsidRDefault="00232550" w:rsidP="00692CC9">
            <w:pPr>
              <w:spacing w:after="0" w:line="259" w:lineRule="auto"/>
              <w:ind w:firstLine="0"/>
              <w:jc w:val="left"/>
            </w:pPr>
            <w:r>
              <w:rPr>
                <w:color w:val="231F20"/>
                <w:sz w:val="18"/>
              </w:rPr>
              <w:t>3412</w:t>
            </w:r>
          </w:p>
        </w:tc>
      </w:tr>
    </w:tbl>
    <w:p w14:paraId="2A68BFE1" w14:textId="77777777" w:rsidR="00232550" w:rsidRDefault="00232550" w:rsidP="00232550">
      <w:pPr>
        <w:spacing w:after="360" w:line="237" w:lineRule="auto"/>
        <w:ind w:left="75" w:right="8" w:hanging="10"/>
      </w:pPr>
      <w:r>
        <w:rPr>
          <w:b/>
          <w:i/>
          <w:color w:val="231F20"/>
          <w:sz w:val="14"/>
        </w:rPr>
        <w:t xml:space="preserve">Informative Note: </w:t>
      </w:r>
      <w:r>
        <w:rPr>
          <w:color w:val="231F20"/>
          <w:sz w:val="14"/>
        </w:rPr>
        <w:t xml:space="preserve">Energy accounting and conversion factors shown in Table 5-2 are based on </w:t>
      </w:r>
      <w:r>
        <w:rPr>
          <w:i/>
          <w:color w:val="231F20"/>
          <w:sz w:val="14"/>
        </w:rPr>
        <w:t>site energy</w:t>
      </w:r>
      <w:r>
        <w:rPr>
          <w:color w:val="231F20"/>
          <w:sz w:val="14"/>
        </w:rPr>
        <w:t>.</w:t>
      </w:r>
    </w:p>
    <w:p w14:paraId="0F95E658" w14:textId="77777777" w:rsidR="00232550" w:rsidRDefault="00232550">
      <w:pPr>
        <w:spacing w:after="160" w:line="259" w:lineRule="auto"/>
        <w:ind w:firstLine="0"/>
        <w:jc w:val="left"/>
        <w:rPr>
          <w:rFonts w:ascii="Arial" w:eastAsia="Arial" w:hAnsi="Arial" w:cs="Arial"/>
          <w:b/>
          <w:color w:val="231F20"/>
          <w:sz w:val="17"/>
        </w:rPr>
      </w:pPr>
      <w:r>
        <w:rPr>
          <w:rFonts w:ascii="Arial" w:eastAsia="Arial" w:hAnsi="Arial" w:cs="Arial"/>
          <w:b/>
          <w:color w:val="231F20"/>
          <w:sz w:val="17"/>
        </w:rPr>
        <w:br w:type="page"/>
      </w:r>
    </w:p>
    <w:p w14:paraId="04B27C03" w14:textId="77777777" w:rsidR="00232550" w:rsidRDefault="00232550" w:rsidP="00232550">
      <w:pPr>
        <w:spacing w:after="0" w:line="259" w:lineRule="auto"/>
        <w:ind w:left="-5" w:hanging="10"/>
        <w:jc w:val="left"/>
      </w:pPr>
      <w:r>
        <w:rPr>
          <w:rFonts w:ascii="Arial" w:eastAsia="Arial" w:hAnsi="Arial" w:cs="Arial"/>
          <w:b/>
          <w:color w:val="231F20"/>
          <w:sz w:val="17"/>
        </w:rPr>
        <w:t>Table 5-2b Primary Energy Conversion Factors</w:t>
      </w:r>
    </w:p>
    <w:p w14:paraId="4E4C41DA" w14:textId="77777777" w:rsidR="00232550" w:rsidRDefault="00232550" w:rsidP="00232550">
      <w:pPr>
        <w:spacing w:after="48" w:line="259" w:lineRule="auto"/>
        <w:ind w:right="-17" w:firstLine="0"/>
        <w:jc w:val="left"/>
      </w:pPr>
      <w:r>
        <w:rPr>
          <w:rFonts w:ascii="Calibri" w:eastAsia="Calibri" w:hAnsi="Calibri" w:cs="Calibri"/>
          <w:noProof/>
          <w:sz w:val="22"/>
        </w:rPr>
        <mc:AlternateContent>
          <mc:Choice Requires="wpg">
            <w:drawing>
              <wp:inline distT="0" distB="0" distL="0" distR="0" wp14:anchorId="2C692A8E" wp14:editId="599260BA">
                <wp:extent cx="3142996" cy="213360"/>
                <wp:effectExtent l="0" t="0" r="0" b="0"/>
                <wp:docPr id="524248" name="Group 524248"/>
                <wp:cNvGraphicFramePr/>
                <a:graphic xmlns:a="http://schemas.openxmlformats.org/drawingml/2006/main">
                  <a:graphicData uri="http://schemas.microsoft.com/office/word/2010/wordprocessingGroup">
                    <wpg:wgp>
                      <wpg:cNvGrpSpPr/>
                      <wpg:grpSpPr>
                        <a:xfrm>
                          <a:off x="0" y="0"/>
                          <a:ext cx="3142996" cy="213360"/>
                          <a:chOff x="0" y="0"/>
                          <a:chExt cx="3142996" cy="213360"/>
                        </a:xfrm>
                      </wpg:grpSpPr>
                      <wps:wsp>
                        <wps:cNvPr id="1930" name="Rectangle 1930"/>
                        <wps:cNvSpPr/>
                        <wps:spPr>
                          <a:xfrm>
                            <a:off x="50800" y="74991"/>
                            <a:ext cx="873957" cy="135837"/>
                          </a:xfrm>
                          <a:prstGeom prst="rect">
                            <a:avLst/>
                          </a:prstGeom>
                          <a:ln>
                            <a:noFill/>
                          </a:ln>
                        </wps:spPr>
                        <wps:txbx>
                          <w:txbxContent>
                            <w:p w14:paraId="271FA219" w14:textId="77777777" w:rsidR="00232550" w:rsidRDefault="00232550" w:rsidP="00232550">
                              <w:pPr>
                                <w:spacing w:after="160" w:line="259" w:lineRule="auto"/>
                                <w:ind w:firstLine="0"/>
                                <w:jc w:val="left"/>
                              </w:pPr>
                              <w:r>
                                <w:rPr>
                                  <w:b/>
                                  <w:color w:val="231F20"/>
                                  <w:sz w:val="18"/>
                                </w:rPr>
                                <w:t>Energy Form</w:t>
                              </w:r>
                            </w:p>
                          </w:txbxContent>
                        </wps:txbx>
                        <wps:bodyPr horzOverflow="overflow" vert="horz" lIns="0" tIns="0" rIns="0" bIns="0" rtlCol="0">
                          <a:noAutofit/>
                        </wps:bodyPr>
                      </wps:wsp>
                      <wps:wsp>
                        <wps:cNvPr id="1931" name="Rectangle 1931"/>
                        <wps:cNvSpPr/>
                        <wps:spPr>
                          <a:xfrm>
                            <a:off x="2151291" y="74991"/>
                            <a:ext cx="1211744" cy="135837"/>
                          </a:xfrm>
                          <a:prstGeom prst="rect">
                            <a:avLst/>
                          </a:prstGeom>
                          <a:ln>
                            <a:noFill/>
                          </a:ln>
                        </wps:spPr>
                        <wps:txbx>
                          <w:txbxContent>
                            <w:p w14:paraId="56998085" w14:textId="77777777" w:rsidR="00232550" w:rsidRDefault="00232550" w:rsidP="00232550">
                              <w:pPr>
                                <w:spacing w:after="160" w:line="259" w:lineRule="auto"/>
                                <w:ind w:firstLine="0"/>
                                <w:jc w:val="left"/>
                              </w:pPr>
                              <w:r>
                                <w:rPr>
                                  <w:b/>
                                  <w:color w:val="231F20"/>
                                  <w:sz w:val="18"/>
                                </w:rPr>
                                <w:t>Conversion Factor</w:t>
                              </w:r>
                            </w:p>
                          </w:txbxContent>
                        </wps:txbx>
                        <wps:bodyPr horzOverflow="overflow" vert="horz" lIns="0" tIns="0" rIns="0" bIns="0" rtlCol="0">
                          <a:noAutofit/>
                        </wps:bodyPr>
                      </wps:wsp>
                      <wps:wsp>
                        <wps:cNvPr id="1979" name="Shape 1979"/>
                        <wps:cNvSpPr/>
                        <wps:spPr>
                          <a:xfrm>
                            <a:off x="0" y="0"/>
                            <a:ext cx="3142996" cy="0"/>
                          </a:xfrm>
                          <a:custGeom>
                            <a:avLst/>
                            <a:gdLst/>
                            <a:ahLst/>
                            <a:cxnLst/>
                            <a:rect l="0" t="0" r="0" b="0"/>
                            <a:pathLst>
                              <a:path w="3142996">
                                <a:moveTo>
                                  <a:pt x="3142996" y="0"/>
                                </a:moveTo>
                                <a:lnTo>
                                  <a:pt x="0" y="0"/>
                                </a:lnTo>
                                <a:close/>
                              </a:path>
                            </a:pathLst>
                          </a:custGeom>
                          <a:ln w="27432" cap="flat">
                            <a:miter lim="100000"/>
                          </a:ln>
                        </wps:spPr>
                        <wps:style>
                          <a:lnRef idx="1">
                            <a:srgbClr val="231F20"/>
                          </a:lnRef>
                          <a:fillRef idx="1">
                            <a:srgbClr val="231F20"/>
                          </a:fillRef>
                          <a:effectRef idx="0">
                            <a:scrgbClr r="0" g="0" b="0"/>
                          </a:effectRef>
                          <a:fontRef idx="none"/>
                        </wps:style>
                        <wps:bodyPr/>
                      </wps:wsp>
                      <wps:wsp>
                        <wps:cNvPr id="1980" name="Shape 1980"/>
                        <wps:cNvSpPr/>
                        <wps:spPr>
                          <a:xfrm>
                            <a:off x="0" y="213360"/>
                            <a:ext cx="3142996" cy="0"/>
                          </a:xfrm>
                          <a:custGeom>
                            <a:avLst/>
                            <a:gdLst/>
                            <a:ahLst/>
                            <a:cxnLst/>
                            <a:rect l="0" t="0" r="0" b="0"/>
                            <a:pathLst>
                              <a:path w="3142996">
                                <a:moveTo>
                                  <a:pt x="3142996" y="0"/>
                                </a:moveTo>
                                <a:lnTo>
                                  <a:pt x="0" y="0"/>
                                </a:lnTo>
                                <a:close/>
                              </a:path>
                            </a:pathLst>
                          </a:custGeom>
                          <a:ln w="3048" cap="flat">
                            <a:miter lim="100000"/>
                          </a:ln>
                        </wps:spPr>
                        <wps:style>
                          <a:lnRef idx="1">
                            <a:srgbClr val="231F20"/>
                          </a:lnRef>
                          <a:fillRef idx="1">
                            <a:srgbClr val="231F20"/>
                          </a:fillRef>
                          <a:effectRef idx="0">
                            <a:scrgbClr r="0" g="0" b="0"/>
                          </a:effectRef>
                          <a:fontRef idx="none"/>
                        </wps:style>
                        <wps:bodyPr/>
                      </wps:wsp>
                    </wpg:wgp>
                  </a:graphicData>
                </a:graphic>
              </wp:inline>
            </w:drawing>
          </mc:Choice>
          <mc:Fallback>
            <w:pict>
              <v:group w14:anchorId="2C692A8E" id="Group 524248" o:spid="_x0000_s1026" style="width:247.5pt;height:16.8pt;mso-position-horizontal-relative:char;mso-position-vertical-relative:line" coordsize="31429,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">
                <v:rect id="Rectangle 1930" o:spid="_x0000_s1027" style="position:absolute;left:508;top:749;width:8739;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aaxgAAAN0AAAAPAAAAZHJzL2Rvd25yZXYueG1sRI9Ba8JA&#10;EIXvgv9hmYI33bQF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Jzg2msYAAADdAAAA&#10;DwAAAAAAAAAAAAAAAAAHAgAAZHJzL2Rvd25yZXYueG1sUEsFBgAAAAADAAMAtwAAAPoCAAAAAA==&#10;" filled="f" stroked="f">
                  <v:textbox inset="0,0,0,0">
                    <w:txbxContent>
                      <w:p w14:paraId="271FA219" w14:textId="77777777" w:rsidR="00232550" w:rsidRDefault="00232550" w:rsidP="00232550">
                        <w:pPr>
                          <w:spacing w:after="160" w:line="259" w:lineRule="auto"/>
                          <w:ind w:firstLine="0"/>
                          <w:jc w:val="left"/>
                        </w:pPr>
                        <w:r>
                          <w:rPr>
                            <w:b/>
                            <w:color w:val="231F20"/>
                            <w:sz w:val="18"/>
                          </w:rPr>
                          <w:t>Energy Form</w:t>
                        </w:r>
                      </w:p>
                    </w:txbxContent>
                  </v:textbox>
                </v:rect>
                <v:rect id="Rectangle 1931" o:spid="_x0000_s1028" style="position:absolute;left:21512;top:749;width:12118;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MBwwAAAN0AAAAPAAAAZHJzL2Rvd25yZXYueG1sRE9Li8Iw&#10;EL4L+x/CCN401QW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SHSTAcMAAADdAAAADwAA&#10;AAAAAAAAAAAAAAAHAgAAZHJzL2Rvd25yZXYueG1sUEsFBgAAAAADAAMAtwAAAPcCAAAAAA==&#10;" filled="f" stroked="f">
                  <v:textbox inset="0,0,0,0">
                    <w:txbxContent>
                      <w:p w14:paraId="56998085" w14:textId="77777777" w:rsidR="00232550" w:rsidRDefault="00232550" w:rsidP="00232550">
                        <w:pPr>
                          <w:spacing w:after="160" w:line="259" w:lineRule="auto"/>
                          <w:ind w:firstLine="0"/>
                          <w:jc w:val="left"/>
                        </w:pPr>
                        <w:r>
                          <w:rPr>
                            <w:b/>
                            <w:color w:val="231F20"/>
                            <w:sz w:val="18"/>
                          </w:rPr>
                          <w:t>Conversion Factor</w:t>
                        </w:r>
                      </w:p>
                    </w:txbxContent>
                  </v:textbox>
                </v:rect>
                <v:shape id="Shape 1979" o:spid="_x0000_s1029" style="position:absolute;width:31429;height:0;visibility:visible;mso-wrap-style:square;v-text-anchor:top" coordsize="3142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" path="m3142996,l,,3142996,xe" fillcolor="#231f20" strokecolor="#231f20" strokeweight="2.16pt">
                  <v:stroke miterlimit="1" joinstyle="miter"/>
                  <v:path arrowok="t" textboxrect="0,0,3142996,0"/>
                </v:shape>
                <v:shape id="Shape 1980" o:spid="_x0000_s1030" style="position:absolute;top:2133;width:31429;height:0;visibility:visible;mso-wrap-style:square;v-text-anchor:top" coordsize="3142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" path="m3142996,l,,3142996,xe" fillcolor="#231f20" strokecolor="#231f20" strokeweight=".24pt">
                  <v:stroke miterlimit="1" joinstyle="miter"/>
                  <v:path arrowok="t" textboxrect="0,0,3142996,0"/>
                </v:shape>
                <w10:anchorlock/>
              </v:group>
            </w:pict>
          </mc:Fallback>
        </mc:AlternateContent>
      </w:r>
    </w:p>
    <w:tbl>
      <w:tblPr>
        <w:tblStyle w:val="TableGrid"/>
        <w:tblW w:w="4950" w:type="dxa"/>
        <w:tblInd w:w="0" w:type="dxa"/>
        <w:tblCellMar>
          <w:top w:w="91" w:type="dxa"/>
          <w:left w:w="80" w:type="dxa"/>
          <w:right w:w="115" w:type="dxa"/>
        </w:tblCellMar>
        <w:tblLook w:val="04A0" w:firstRow="1" w:lastRow="0" w:firstColumn="1" w:lastColumn="0" w:noHBand="0" w:noVBand="1"/>
      </w:tblPr>
      <w:tblGrid>
        <w:gridCol w:w="2098"/>
        <w:gridCol w:w="1210"/>
        <w:gridCol w:w="1642"/>
      </w:tblGrid>
      <w:tr w:rsidR="00232550" w14:paraId="7F7E69CB" w14:textId="77777777" w:rsidTr="00692CC9">
        <w:trPr>
          <w:trHeight w:val="336"/>
        </w:trPr>
        <w:tc>
          <w:tcPr>
            <w:tcW w:w="3308" w:type="dxa"/>
            <w:gridSpan w:val="2"/>
            <w:tcBorders>
              <w:top w:val="single" w:sz="2" w:space="0" w:color="231F20"/>
              <w:left w:val="nil"/>
              <w:bottom w:val="single" w:sz="2" w:space="0" w:color="231F20"/>
              <w:right w:val="single" w:sz="2" w:space="0" w:color="231F20"/>
            </w:tcBorders>
          </w:tcPr>
          <w:p w14:paraId="5E871BF7" w14:textId="77777777" w:rsidR="00232550" w:rsidRDefault="00232550" w:rsidP="00692CC9">
            <w:pPr>
              <w:spacing w:after="0" w:line="259" w:lineRule="auto"/>
              <w:ind w:firstLine="0"/>
              <w:jc w:val="left"/>
            </w:pPr>
            <w:r>
              <w:rPr>
                <w:color w:val="231F20"/>
                <w:sz w:val="18"/>
              </w:rPr>
              <w:t>Electricity</w:t>
            </w:r>
          </w:p>
        </w:tc>
        <w:tc>
          <w:tcPr>
            <w:tcW w:w="1642" w:type="dxa"/>
            <w:tcBorders>
              <w:top w:val="single" w:sz="2" w:space="0" w:color="231F20"/>
              <w:left w:val="single" w:sz="2" w:space="0" w:color="231F20"/>
              <w:bottom w:val="single" w:sz="2" w:space="0" w:color="231F20"/>
              <w:right w:val="nil"/>
            </w:tcBorders>
          </w:tcPr>
          <w:p w14:paraId="0048AF6C" w14:textId="77777777" w:rsidR="00232550" w:rsidRDefault="00232550" w:rsidP="00692CC9">
            <w:pPr>
              <w:spacing w:after="0" w:line="259" w:lineRule="auto"/>
              <w:ind w:firstLine="0"/>
              <w:jc w:val="left"/>
            </w:pPr>
            <w:r>
              <w:rPr>
                <w:color w:val="231F20"/>
                <w:sz w:val="18"/>
              </w:rPr>
              <w:t>3.15</w:t>
            </w:r>
          </w:p>
        </w:tc>
      </w:tr>
      <w:tr w:rsidR="00232550" w14:paraId="2262AEF5" w14:textId="77777777" w:rsidTr="00692CC9">
        <w:trPr>
          <w:trHeight w:val="360"/>
        </w:trPr>
        <w:tc>
          <w:tcPr>
            <w:tcW w:w="3308" w:type="dxa"/>
            <w:gridSpan w:val="2"/>
            <w:tcBorders>
              <w:top w:val="single" w:sz="2" w:space="0" w:color="231F20"/>
              <w:left w:val="nil"/>
              <w:bottom w:val="single" w:sz="2" w:space="0" w:color="231F20"/>
              <w:right w:val="single" w:sz="2" w:space="0" w:color="231F20"/>
            </w:tcBorders>
          </w:tcPr>
          <w:p w14:paraId="2FAD8D5B" w14:textId="77777777" w:rsidR="00232550" w:rsidRDefault="00232550" w:rsidP="00692CC9">
            <w:pPr>
              <w:spacing w:after="0" w:line="259" w:lineRule="auto"/>
              <w:ind w:firstLine="0"/>
              <w:jc w:val="left"/>
            </w:pPr>
            <w:r>
              <w:rPr>
                <w:color w:val="231F20"/>
                <w:sz w:val="18"/>
              </w:rPr>
              <w:t>Natural gas</w:t>
            </w:r>
          </w:p>
        </w:tc>
        <w:tc>
          <w:tcPr>
            <w:tcW w:w="1642" w:type="dxa"/>
            <w:tcBorders>
              <w:top w:val="single" w:sz="2" w:space="0" w:color="231F20"/>
              <w:left w:val="single" w:sz="2" w:space="0" w:color="231F20"/>
              <w:bottom w:val="single" w:sz="2" w:space="0" w:color="231F20"/>
              <w:right w:val="nil"/>
            </w:tcBorders>
          </w:tcPr>
          <w:p w14:paraId="3014A09F" w14:textId="77777777" w:rsidR="00232550" w:rsidRDefault="00232550" w:rsidP="00692CC9">
            <w:pPr>
              <w:spacing w:after="0" w:line="259" w:lineRule="auto"/>
              <w:ind w:firstLine="0"/>
              <w:jc w:val="left"/>
            </w:pPr>
            <w:r>
              <w:rPr>
                <w:color w:val="231F20"/>
                <w:sz w:val="18"/>
              </w:rPr>
              <w:t>1.09</w:t>
            </w:r>
          </w:p>
        </w:tc>
      </w:tr>
      <w:tr w:rsidR="00232550" w14:paraId="1BBD6CAE" w14:textId="77777777" w:rsidTr="00692CC9">
        <w:trPr>
          <w:trHeight w:val="360"/>
        </w:trPr>
        <w:tc>
          <w:tcPr>
            <w:tcW w:w="3308" w:type="dxa"/>
            <w:gridSpan w:val="2"/>
            <w:tcBorders>
              <w:top w:val="single" w:sz="2" w:space="0" w:color="231F20"/>
              <w:left w:val="nil"/>
              <w:bottom w:val="single" w:sz="2" w:space="0" w:color="231F20"/>
              <w:right w:val="single" w:sz="2" w:space="0" w:color="231F20"/>
            </w:tcBorders>
          </w:tcPr>
          <w:p w14:paraId="3EDEB383" w14:textId="77777777" w:rsidR="00232550" w:rsidRDefault="00232550" w:rsidP="00692CC9">
            <w:pPr>
              <w:spacing w:after="0" w:line="259" w:lineRule="auto"/>
              <w:ind w:firstLine="0"/>
              <w:jc w:val="left"/>
            </w:pPr>
            <w:r>
              <w:rPr>
                <w:color w:val="231F20"/>
                <w:sz w:val="18"/>
              </w:rPr>
              <w:t>Fuel oil</w:t>
            </w:r>
          </w:p>
        </w:tc>
        <w:tc>
          <w:tcPr>
            <w:tcW w:w="1642" w:type="dxa"/>
            <w:tcBorders>
              <w:top w:val="single" w:sz="2" w:space="0" w:color="231F20"/>
              <w:left w:val="single" w:sz="2" w:space="0" w:color="231F20"/>
              <w:bottom w:val="single" w:sz="2" w:space="0" w:color="231F20"/>
              <w:right w:val="nil"/>
            </w:tcBorders>
          </w:tcPr>
          <w:p w14:paraId="00997F83" w14:textId="77777777" w:rsidR="00232550" w:rsidRDefault="00232550" w:rsidP="00692CC9">
            <w:pPr>
              <w:spacing w:after="0" w:line="259" w:lineRule="auto"/>
              <w:ind w:firstLine="0"/>
              <w:jc w:val="left"/>
            </w:pPr>
            <w:r>
              <w:rPr>
                <w:color w:val="231F20"/>
                <w:sz w:val="18"/>
              </w:rPr>
              <w:t>1.19</w:t>
            </w:r>
          </w:p>
        </w:tc>
      </w:tr>
      <w:tr w:rsidR="00232550" w14:paraId="351A794C" w14:textId="77777777" w:rsidTr="00692CC9">
        <w:trPr>
          <w:trHeight w:val="360"/>
        </w:trPr>
        <w:tc>
          <w:tcPr>
            <w:tcW w:w="3308" w:type="dxa"/>
            <w:gridSpan w:val="2"/>
            <w:tcBorders>
              <w:top w:val="single" w:sz="2" w:space="0" w:color="231F20"/>
              <w:left w:val="nil"/>
              <w:bottom w:val="single" w:sz="2" w:space="0" w:color="231F20"/>
              <w:right w:val="single" w:sz="2" w:space="0" w:color="231F20"/>
            </w:tcBorders>
          </w:tcPr>
          <w:p w14:paraId="4CFF0981" w14:textId="77777777" w:rsidR="00232550" w:rsidRDefault="00232550" w:rsidP="00692CC9">
            <w:pPr>
              <w:spacing w:after="0" w:line="259" w:lineRule="auto"/>
              <w:ind w:firstLine="0"/>
              <w:jc w:val="left"/>
            </w:pPr>
            <w:r>
              <w:rPr>
                <w:color w:val="231F20"/>
                <w:sz w:val="18"/>
              </w:rPr>
              <w:t>Liquefied petroleum gas (LPG) or propane</w:t>
            </w:r>
          </w:p>
        </w:tc>
        <w:tc>
          <w:tcPr>
            <w:tcW w:w="1642" w:type="dxa"/>
            <w:tcBorders>
              <w:top w:val="single" w:sz="2" w:space="0" w:color="231F20"/>
              <w:left w:val="single" w:sz="2" w:space="0" w:color="231F20"/>
              <w:bottom w:val="single" w:sz="2" w:space="0" w:color="231F20"/>
              <w:right w:val="nil"/>
            </w:tcBorders>
          </w:tcPr>
          <w:p w14:paraId="6F1C8B57" w14:textId="77777777" w:rsidR="00232550" w:rsidRDefault="00232550" w:rsidP="00692CC9">
            <w:pPr>
              <w:spacing w:after="0" w:line="259" w:lineRule="auto"/>
              <w:ind w:firstLine="0"/>
              <w:jc w:val="left"/>
            </w:pPr>
            <w:r>
              <w:rPr>
                <w:color w:val="231F20"/>
                <w:sz w:val="18"/>
              </w:rPr>
              <w:t>1.15</w:t>
            </w:r>
          </w:p>
        </w:tc>
      </w:tr>
      <w:tr w:rsidR="00232550" w14:paraId="667BC5AB" w14:textId="77777777" w:rsidTr="00692CC9">
        <w:trPr>
          <w:trHeight w:val="360"/>
        </w:trPr>
        <w:tc>
          <w:tcPr>
            <w:tcW w:w="3308" w:type="dxa"/>
            <w:gridSpan w:val="2"/>
            <w:tcBorders>
              <w:top w:val="single" w:sz="2" w:space="0" w:color="231F20"/>
              <w:left w:val="nil"/>
              <w:bottom w:val="single" w:sz="2" w:space="0" w:color="231F20"/>
              <w:right w:val="single" w:sz="2" w:space="0" w:color="231F20"/>
            </w:tcBorders>
          </w:tcPr>
          <w:p w14:paraId="53AC39A4" w14:textId="77777777" w:rsidR="00232550" w:rsidRDefault="00232550" w:rsidP="00692CC9">
            <w:pPr>
              <w:spacing w:after="0" w:line="259" w:lineRule="auto"/>
              <w:ind w:firstLine="0"/>
              <w:jc w:val="left"/>
            </w:pPr>
            <w:r>
              <w:rPr>
                <w:color w:val="231F20"/>
                <w:sz w:val="18"/>
              </w:rPr>
              <w:t>Other</w:t>
            </w:r>
          </w:p>
        </w:tc>
        <w:tc>
          <w:tcPr>
            <w:tcW w:w="1642" w:type="dxa"/>
            <w:tcBorders>
              <w:top w:val="single" w:sz="2" w:space="0" w:color="231F20"/>
              <w:left w:val="single" w:sz="2" w:space="0" w:color="231F20"/>
              <w:bottom w:val="single" w:sz="2" w:space="0" w:color="231F20"/>
              <w:right w:val="nil"/>
            </w:tcBorders>
          </w:tcPr>
          <w:p w14:paraId="112C2B09" w14:textId="77777777" w:rsidR="00232550" w:rsidRDefault="00232550" w:rsidP="00692CC9">
            <w:pPr>
              <w:spacing w:after="0" w:line="259" w:lineRule="auto"/>
              <w:ind w:firstLine="0"/>
              <w:jc w:val="left"/>
            </w:pPr>
            <w:r>
              <w:rPr>
                <w:color w:val="231F20"/>
                <w:sz w:val="18"/>
              </w:rPr>
              <w:t>1.10</w:t>
            </w:r>
          </w:p>
        </w:tc>
      </w:tr>
      <w:tr w:rsidR="00232550" w14:paraId="71BB9335" w14:textId="77777777" w:rsidTr="00692CC9">
        <w:trPr>
          <w:trHeight w:val="360"/>
        </w:trPr>
        <w:tc>
          <w:tcPr>
            <w:tcW w:w="2098" w:type="dxa"/>
            <w:vMerge w:val="restart"/>
            <w:tcBorders>
              <w:top w:val="single" w:sz="2" w:space="0" w:color="231F20"/>
              <w:left w:val="nil"/>
              <w:bottom w:val="single" w:sz="17" w:space="0" w:color="231F20"/>
              <w:right w:val="single" w:sz="2" w:space="0" w:color="231F20"/>
            </w:tcBorders>
          </w:tcPr>
          <w:p w14:paraId="355B2350" w14:textId="77777777" w:rsidR="00232550" w:rsidRDefault="00232550" w:rsidP="00692CC9">
            <w:pPr>
              <w:spacing w:after="0" w:line="259" w:lineRule="auto"/>
              <w:ind w:firstLine="0"/>
              <w:jc w:val="left"/>
            </w:pPr>
            <w:r>
              <w:rPr>
                <w:color w:val="231F20"/>
                <w:sz w:val="18"/>
              </w:rPr>
              <w:t>Purchased district energy</w:t>
            </w:r>
          </w:p>
        </w:tc>
        <w:tc>
          <w:tcPr>
            <w:tcW w:w="1210" w:type="dxa"/>
            <w:tcBorders>
              <w:top w:val="single" w:sz="2" w:space="0" w:color="231F20"/>
              <w:left w:val="single" w:sz="2" w:space="0" w:color="231F20"/>
              <w:bottom w:val="single" w:sz="2" w:space="0" w:color="231F20"/>
              <w:right w:val="single" w:sz="2" w:space="0" w:color="231F20"/>
            </w:tcBorders>
          </w:tcPr>
          <w:p w14:paraId="04668703" w14:textId="77777777" w:rsidR="00232550" w:rsidRDefault="00232550" w:rsidP="00692CC9">
            <w:pPr>
              <w:spacing w:after="0" w:line="259" w:lineRule="auto"/>
              <w:ind w:firstLine="0"/>
              <w:jc w:val="left"/>
            </w:pPr>
            <w:r>
              <w:rPr>
                <w:color w:val="231F20"/>
                <w:sz w:val="18"/>
              </w:rPr>
              <w:t>Hot water</w:t>
            </w:r>
          </w:p>
        </w:tc>
        <w:tc>
          <w:tcPr>
            <w:tcW w:w="1642" w:type="dxa"/>
            <w:vMerge w:val="restart"/>
            <w:tcBorders>
              <w:top w:val="single" w:sz="2" w:space="0" w:color="231F20"/>
              <w:left w:val="single" w:sz="2" w:space="0" w:color="231F20"/>
              <w:bottom w:val="single" w:sz="17" w:space="0" w:color="231F20"/>
              <w:right w:val="nil"/>
            </w:tcBorders>
          </w:tcPr>
          <w:p w14:paraId="6C56347C" w14:textId="77777777" w:rsidR="00232550" w:rsidRDefault="00232550" w:rsidP="00692CC9">
            <w:pPr>
              <w:spacing w:after="135" w:line="259" w:lineRule="auto"/>
              <w:ind w:firstLine="0"/>
              <w:jc w:val="left"/>
            </w:pPr>
            <w:r>
              <w:rPr>
                <w:color w:val="231F20"/>
                <w:sz w:val="18"/>
              </w:rPr>
              <w:t>1.35</w:t>
            </w:r>
          </w:p>
          <w:p w14:paraId="4228744E" w14:textId="77777777" w:rsidR="00232550" w:rsidRDefault="00232550" w:rsidP="00692CC9">
            <w:pPr>
              <w:spacing w:after="135" w:line="259" w:lineRule="auto"/>
              <w:ind w:firstLine="0"/>
              <w:jc w:val="left"/>
            </w:pPr>
            <w:r>
              <w:rPr>
                <w:color w:val="231F20"/>
                <w:sz w:val="18"/>
              </w:rPr>
              <w:t>1.45</w:t>
            </w:r>
          </w:p>
          <w:p w14:paraId="2502A689" w14:textId="77777777" w:rsidR="00232550" w:rsidRDefault="00232550" w:rsidP="00692CC9">
            <w:pPr>
              <w:spacing w:after="0" w:line="259" w:lineRule="auto"/>
              <w:ind w:firstLine="0"/>
              <w:jc w:val="left"/>
            </w:pPr>
            <w:r>
              <w:rPr>
                <w:color w:val="231F20"/>
                <w:sz w:val="18"/>
              </w:rPr>
              <w:t>1.04</w:t>
            </w:r>
          </w:p>
        </w:tc>
      </w:tr>
      <w:tr w:rsidR="00232550" w14:paraId="7DDE0219" w14:textId="77777777" w:rsidTr="00692CC9">
        <w:trPr>
          <w:trHeight w:val="360"/>
        </w:trPr>
        <w:tc>
          <w:tcPr>
            <w:tcW w:w="0" w:type="auto"/>
            <w:vMerge/>
            <w:tcBorders>
              <w:top w:val="nil"/>
              <w:left w:val="nil"/>
              <w:bottom w:val="nil"/>
              <w:right w:val="single" w:sz="2" w:space="0" w:color="231F20"/>
            </w:tcBorders>
          </w:tcPr>
          <w:p w14:paraId="440B565C" w14:textId="77777777" w:rsidR="00232550" w:rsidRDefault="00232550" w:rsidP="00692CC9">
            <w:pPr>
              <w:spacing w:after="160" w:line="259" w:lineRule="auto"/>
              <w:ind w:firstLine="0"/>
              <w:jc w:val="left"/>
            </w:pPr>
          </w:p>
        </w:tc>
        <w:tc>
          <w:tcPr>
            <w:tcW w:w="1210" w:type="dxa"/>
            <w:tcBorders>
              <w:top w:val="single" w:sz="2" w:space="0" w:color="231F20"/>
              <w:left w:val="single" w:sz="2" w:space="0" w:color="231F20"/>
              <w:bottom w:val="single" w:sz="2" w:space="0" w:color="231F20"/>
              <w:right w:val="single" w:sz="2" w:space="0" w:color="231F20"/>
            </w:tcBorders>
          </w:tcPr>
          <w:p w14:paraId="01FCD5E0" w14:textId="77777777" w:rsidR="00232550" w:rsidRDefault="00232550" w:rsidP="00692CC9">
            <w:pPr>
              <w:spacing w:after="0" w:line="259" w:lineRule="auto"/>
              <w:ind w:firstLine="0"/>
              <w:jc w:val="left"/>
            </w:pPr>
            <w:r>
              <w:rPr>
                <w:color w:val="231F20"/>
                <w:sz w:val="18"/>
              </w:rPr>
              <w:t>Steam</w:t>
            </w:r>
          </w:p>
        </w:tc>
        <w:tc>
          <w:tcPr>
            <w:tcW w:w="0" w:type="auto"/>
            <w:vMerge/>
            <w:tcBorders>
              <w:top w:val="nil"/>
              <w:left w:val="single" w:sz="2" w:space="0" w:color="231F20"/>
              <w:bottom w:val="nil"/>
              <w:right w:val="nil"/>
            </w:tcBorders>
          </w:tcPr>
          <w:p w14:paraId="5BA5ACAB" w14:textId="77777777" w:rsidR="00232550" w:rsidRDefault="00232550" w:rsidP="00692CC9">
            <w:pPr>
              <w:spacing w:after="160" w:line="259" w:lineRule="auto"/>
              <w:ind w:firstLine="0"/>
              <w:jc w:val="left"/>
            </w:pPr>
          </w:p>
        </w:tc>
      </w:tr>
      <w:tr w:rsidR="00232550" w14:paraId="0ED2F874" w14:textId="77777777" w:rsidTr="00692CC9">
        <w:trPr>
          <w:trHeight w:val="360"/>
        </w:trPr>
        <w:tc>
          <w:tcPr>
            <w:tcW w:w="0" w:type="auto"/>
            <w:vMerge/>
            <w:tcBorders>
              <w:top w:val="nil"/>
              <w:left w:val="nil"/>
              <w:bottom w:val="single" w:sz="17" w:space="0" w:color="231F20"/>
              <w:right w:val="single" w:sz="2" w:space="0" w:color="231F20"/>
            </w:tcBorders>
          </w:tcPr>
          <w:p w14:paraId="49037217" w14:textId="77777777" w:rsidR="00232550" w:rsidRDefault="00232550" w:rsidP="00692CC9">
            <w:pPr>
              <w:spacing w:after="160" w:line="259" w:lineRule="auto"/>
              <w:ind w:firstLine="0"/>
              <w:jc w:val="left"/>
            </w:pPr>
          </w:p>
        </w:tc>
        <w:tc>
          <w:tcPr>
            <w:tcW w:w="1210" w:type="dxa"/>
            <w:tcBorders>
              <w:top w:val="single" w:sz="2" w:space="0" w:color="231F20"/>
              <w:left w:val="single" w:sz="2" w:space="0" w:color="231F20"/>
              <w:bottom w:val="single" w:sz="17" w:space="0" w:color="231F20"/>
              <w:right w:val="single" w:sz="2" w:space="0" w:color="231F20"/>
            </w:tcBorders>
          </w:tcPr>
          <w:p w14:paraId="243CC3AF" w14:textId="77777777" w:rsidR="00232550" w:rsidRDefault="00232550" w:rsidP="00692CC9">
            <w:pPr>
              <w:spacing w:after="0" w:line="259" w:lineRule="auto"/>
              <w:ind w:firstLine="0"/>
              <w:jc w:val="left"/>
            </w:pPr>
            <w:r>
              <w:rPr>
                <w:color w:val="231F20"/>
                <w:sz w:val="18"/>
              </w:rPr>
              <w:t>Chilled water</w:t>
            </w:r>
          </w:p>
        </w:tc>
        <w:tc>
          <w:tcPr>
            <w:tcW w:w="0" w:type="auto"/>
            <w:vMerge/>
            <w:tcBorders>
              <w:top w:val="nil"/>
              <w:left w:val="single" w:sz="2" w:space="0" w:color="231F20"/>
              <w:bottom w:val="single" w:sz="17" w:space="0" w:color="231F20"/>
              <w:right w:val="nil"/>
            </w:tcBorders>
          </w:tcPr>
          <w:p w14:paraId="4A2BD68F" w14:textId="77777777" w:rsidR="00232550" w:rsidRDefault="00232550" w:rsidP="00692CC9">
            <w:pPr>
              <w:spacing w:after="160" w:line="259" w:lineRule="auto"/>
              <w:ind w:firstLine="0"/>
              <w:jc w:val="left"/>
            </w:pPr>
          </w:p>
        </w:tc>
      </w:tr>
    </w:tbl>
    <w:p w14:paraId="4E923F13" w14:textId="77777777" w:rsidR="00232550" w:rsidRDefault="00232550" w:rsidP="00232550">
      <w:pPr>
        <w:spacing w:after="360" w:line="237" w:lineRule="auto"/>
        <w:ind w:left="75" w:right="8" w:hanging="10"/>
      </w:pPr>
      <w:r>
        <w:rPr>
          <w:b/>
          <w:i/>
          <w:color w:val="231F20"/>
          <w:sz w:val="14"/>
        </w:rPr>
        <w:t>Informative Note:</w:t>
      </w:r>
      <w:r>
        <w:rPr>
          <w:color w:val="231F20"/>
          <w:sz w:val="14"/>
        </w:rPr>
        <w:t xml:space="preserve"> Energy accounting and conversion factors shown in Table 5-2b are based on </w:t>
      </w:r>
      <w:r>
        <w:rPr>
          <w:i/>
          <w:color w:val="231F20"/>
          <w:sz w:val="14"/>
        </w:rPr>
        <w:t>site energy</w:t>
      </w:r>
      <w:r>
        <w:rPr>
          <w:color w:val="231F20"/>
          <w:sz w:val="14"/>
        </w:rPr>
        <w:t xml:space="preserve"> using conversion factors in Table 5-2a converted to primary or </w:t>
      </w:r>
      <w:r>
        <w:rPr>
          <w:i/>
          <w:color w:val="231F20"/>
          <w:sz w:val="14"/>
        </w:rPr>
        <w:t>source energy</w:t>
      </w:r>
      <w:r>
        <w:rPr>
          <w:color w:val="231F20"/>
          <w:sz w:val="14"/>
        </w:rPr>
        <w:t xml:space="preserve">. Section 4.4.2 of the standard allows alternative </w:t>
      </w:r>
      <w:r>
        <w:rPr>
          <w:i/>
          <w:color w:val="231F20"/>
          <w:sz w:val="14"/>
        </w:rPr>
        <w:t>energy targets</w:t>
      </w:r>
      <w:r>
        <w:rPr>
          <w:color w:val="231F20"/>
          <w:sz w:val="14"/>
        </w:rPr>
        <w:t xml:space="preserve"> established by the adopting </w:t>
      </w:r>
      <w:r>
        <w:rPr>
          <w:i/>
          <w:color w:val="231F20"/>
          <w:sz w:val="14"/>
        </w:rPr>
        <w:t>AHJ</w:t>
      </w:r>
      <w:r>
        <w:rPr>
          <w:color w:val="231F20"/>
          <w:sz w:val="14"/>
        </w:rPr>
        <w:t xml:space="preserve">. The </w:t>
      </w:r>
      <w:r>
        <w:rPr>
          <w:i/>
          <w:color w:val="231F20"/>
          <w:sz w:val="14"/>
        </w:rPr>
        <w:t>AHJ</w:t>
      </w:r>
      <w:r>
        <w:rPr>
          <w:color w:val="231F20"/>
          <w:sz w:val="14"/>
        </w:rPr>
        <w:t xml:space="preserve"> may choose to use </w:t>
      </w:r>
      <w:r>
        <w:rPr>
          <w:i/>
          <w:color w:val="231F20"/>
          <w:sz w:val="14"/>
        </w:rPr>
        <w:t>site energy</w:t>
      </w:r>
      <w:r>
        <w:rPr>
          <w:color w:val="231F20"/>
          <w:sz w:val="14"/>
        </w:rPr>
        <w:t xml:space="preserve"> to </w:t>
      </w:r>
      <w:r>
        <w:rPr>
          <w:i/>
          <w:color w:val="231F20"/>
          <w:sz w:val="14"/>
        </w:rPr>
        <w:t>source energy</w:t>
      </w:r>
      <w:r>
        <w:rPr>
          <w:color w:val="231F20"/>
          <w:sz w:val="14"/>
        </w:rPr>
        <w:t xml:space="preserve"> conversion factors shown in Table 5-2b or may use other conversion factors following the processes and procedures incorporated within ANSI/ASHRAE Standard 105, </w:t>
      </w:r>
      <w:r>
        <w:rPr>
          <w:i/>
          <w:color w:val="231F20"/>
          <w:sz w:val="14"/>
        </w:rPr>
        <w:t>Standard Methods of Determining, Expressing, and Comparing Building Energy Performance and Greenhouse Gas Emissions</w:t>
      </w:r>
      <w:r>
        <w:rPr>
          <w:color w:val="231F20"/>
          <w:sz w:val="14"/>
        </w:rPr>
        <w:t xml:space="preserve">. The </w:t>
      </w:r>
      <w:r>
        <w:rPr>
          <w:i/>
          <w:color w:val="231F20"/>
          <w:sz w:val="14"/>
        </w:rPr>
        <w:t>AHJ</w:t>
      </w:r>
      <w:r>
        <w:rPr>
          <w:color w:val="231F20"/>
          <w:sz w:val="14"/>
        </w:rPr>
        <w:t xml:space="preserve"> may also choose to use locally appropriate factors for source (primary) energy.</w:t>
      </w:r>
    </w:p>
    <w:p w14:paraId="5B8A99F0" w14:textId="77777777" w:rsidR="00232550" w:rsidRDefault="00232550" w:rsidP="00232550">
      <w:pPr>
        <w:spacing w:after="152"/>
        <w:ind w:left="-15" w:right="13"/>
        <w:rPr>
          <w:b/>
        </w:rPr>
      </w:pPr>
    </w:p>
    <w:p w14:paraId="6F406473" w14:textId="77777777" w:rsidR="00232550" w:rsidRDefault="00232550" w:rsidP="00232550">
      <w:pPr>
        <w:spacing w:after="100"/>
        <w:ind w:right="13" w:firstLine="0"/>
      </w:pPr>
    </w:p>
    <w:p w14:paraId="145A8EEF" w14:textId="77777777" w:rsidR="004474CA" w:rsidRDefault="004474CA"/>
    <w:sectPr w:rsidR="004474C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urray, Chuck (COM)" w:date="2020-02-19T13:12:00Z" w:initials="MC(">
    <w:p w14:paraId="61B6A707" w14:textId="139B36EA" w:rsidR="00573FEF" w:rsidRDefault="00573FEF">
      <w:pPr>
        <w:pStyle w:val="CommentText"/>
      </w:pPr>
      <w:r>
        <w:rPr>
          <w:rStyle w:val="CommentReference"/>
        </w:rPr>
        <w:annotationRef/>
      </w:r>
      <w:r>
        <w:t xml:space="preserve">In addition to definitions previously published by Commerce. </w:t>
      </w:r>
    </w:p>
  </w:comment>
  <w:comment w:id="5" w:author="Murray, Chuck (COM)" w:date="2020-02-19T13:13:00Z" w:initials="MC(">
    <w:p w14:paraId="5F06D2CB" w14:textId="77777777" w:rsidR="00E43A3D" w:rsidRDefault="00573FEF" w:rsidP="00E43A3D">
      <w:pPr>
        <w:pStyle w:val="CommentText"/>
        <w:ind w:firstLine="0"/>
      </w:pPr>
      <w:r>
        <w:rPr>
          <w:rStyle w:val="CommentReference"/>
        </w:rPr>
        <w:annotationRef/>
      </w:r>
      <w:r w:rsidR="00E43A3D">
        <w:t xml:space="preserve"> Incomplete edit of Section 4. Most relevant edits to Standard 100 sections 5 and 6.</w:t>
      </w:r>
    </w:p>
    <w:p w14:paraId="3E6386C7" w14:textId="77777777" w:rsidR="00E43A3D" w:rsidRDefault="00E43A3D" w:rsidP="00E43A3D">
      <w:pPr>
        <w:pStyle w:val="CommentText"/>
        <w:ind w:firstLine="0"/>
      </w:pPr>
    </w:p>
    <w:p w14:paraId="44966D80" w14:textId="0482DFE0" w:rsidR="00573FEF" w:rsidRDefault="00E43A3D" w:rsidP="00E43A3D">
      <w:pPr>
        <w:pStyle w:val="CommentText"/>
        <w:ind w:firstLine="0"/>
      </w:pPr>
      <w:r>
        <w:t xml:space="preserve">Numbering to be updated prior to final publication. </w:t>
      </w:r>
    </w:p>
  </w:comment>
  <w:comment w:id="6" w:author="Murray, Chuck (COM)" w:date="2020-02-14T15:22:00Z" w:initials="MC(">
    <w:p w14:paraId="0E07D6A6" w14:textId="77777777" w:rsidR="00DC15DA" w:rsidRDefault="00ED0098" w:rsidP="00ED0098">
      <w:pPr>
        <w:pStyle w:val="CommentText"/>
        <w:ind w:firstLine="0"/>
      </w:pPr>
      <w:r>
        <w:rPr>
          <w:rStyle w:val="CommentReference"/>
        </w:rPr>
        <w:annotationRef/>
      </w:r>
      <w:r>
        <w:t xml:space="preserve">Note, this is retained to provide flexibility. </w:t>
      </w:r>
      <w:r w:rsidR="00B81920">
        <w:t xml:space="preserve">It could easily be 18 months. </w:t>
      </w:r>
    </w:p>
    <w:p w14:paraId="055A79B7" w14:textId="77777777" w:rsidR="00DC15DA" w:rsidRDefault="00DC15DA" w:rsidP="00ED0098">
      <w:pPr>
        <w:pStyle w:val="CommentText"/>
        <w:ind w:firstLine="0"/>
      </w:pPr>
    </w:p>
    <w:p w14:paraId="145A0C68" w14:textId="1AFDD20A" w:rsidR="00ED0098" w:rsidRDefault="00ED0098" w:rsidP="00ED0098">
      <w:pPr>
        <w:pStyle w:val="CommentText"/>
        <w:ind w:firstLine="0"/>
      </w:pPr>
      <w:r>
        <w:t>It is not what RCW 1.27a.210 (7) (a) says. “</w:t>
      </w:r>
      <w:r w:rsidR="00DC15DA">
        <w:t>..</w:t>
      </w:r>
      <w:r>
        <w:rPr>
          <w:rFonts w:ascii="Helvetica" w:hAnsi="Helvetica" w:cs="Helvetica"/>
          <w:shd w:val="clear" w:color="auto" w:fill="FFFFFF"/>
        </w:rPr>
        <w:t>measured in the previous calendar year</w:t>
      </w:r>
      <w:r w:rsidR="00DC15DA">
        <w:rPr>
          <w:rFonts w:ascii="Helvetica" w:hAnsi="Helvetica" w:cs="Helvetica"/>
          <w:shd w:val="clear" w:color="auto" w:fill="FFFFFF"/>
        </w:rPr>
        <w:t>..</w:t>
      </w:r>
      <w:r>
        <w:rPr>
          <w:rFonts w:ascii="Helvetica" w:hAnsi="Helvetica" w:cs="Helvetica"/>
          <w:shd w:val="clear" w:color="auto" w:fill="FFFFFF"/>
        </w:rPr>
        <w:t>”</w:t>
      </w:r>
    </w:p>
  </w:comment>
  <w:comment w:id="7" w:author="Murray, Chuck (COM)" w:date="2020-02-19T12:14:00Z" w:initials="MC(">
    <w:p w14:paraId="1C064502" w14:textId="6CCF0C36" w:rsidR="003919D0" w:rsidRDefault="003919D0">
      <w:pPr>
        <w:pStyle w:val="CommentText"/>
      </w:pPr>
      <w:r>
        <w:rPr>
          <w:rStyle w:val="CommentReference"/>
        </w:rPr>
        <w:annotationRef/>
      </w:r>
      <w:r>
        <w:t xml:space="preserve">Commerce </w:t>
      </w:r>
      <w:r w:rsidR="0077693B">
        <w:t>has been cautioned that</w:t>
      </w:r>
      <w:r>
        <w:t xml:space="preserve"> Energy Star </w:t>
      </w:r>
      <w:r w:rsidR="0077693B">
        <w:t xml:space="preserve">PM </w:t>
      </w:r>
      <w:r>
        <w:t xml:space="preserve">does not report net energy use consistent with the requirement of the standard. We well be detailing this section further to align renewable generation reporting in PM with the requirements of the standard.  </w:t>
      </w:r>
      <w:r w:rsidR="00E43A3D">
        <w:t xml:space="preserve">Any comments on methodology would be welcomed. </w:t>
      </w:r>
    </w:p>
  </w:comment>
  <w:comment w:id="8" w:author="Murray, Chuck (COM)" w:date="2020-02-19T11:59:00Z" w:initials="MC(">
    <w:p w14:paraId="645B8DF7" w14:textId="537D60B0" w:rsidR="00F4418B" w:rsidRDefault="00F4418B">
      <w:pPr>
        <w:pStyle w:val="CommentText"/>
      </w:pPr>
      <w:r>
        <w:rPr>
          <w:rStyle w:val="CommentReference"/>
        </w:rPr>
        <w:annotationRef/>
      </w:r>
      <w:r>
        <w:t xml:space="preserve">Commerce will be providing additional review prior to </w:t>
      </w:r>
      <w:r w:rsidR="00D11A0C">
        <w:t xml:space="preserve">finalizing this approach.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B6A707" w15:done="0"/>
  <w15:commentEx w15:paraId="44966D80" w15:done="0"/>
  <w15:commentEx w15:paraId="145A0C68" w15:done="0"/>
  <w15:commentEx w15:paraId="1C064502" w15:done="0"/>
  <w15:commentEx w15:paraId="645B8D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274"/>
    <w:multiLevelType w:val="hybridMultilevel"/>
    <w:tmpl w:val="F01CE4C0"/>
    <w:lvl w:ilvl="0" w:tplc="32F8B964">
      <w:start w:val="1"/>
      <w:numFmt w:val="upperLetter"/>
      <w:lvlText w:val="%1"/>
      <w:lvlJc w:val="left"/>
      <w:pPr>
        <w:ind w:left="3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EE6FA5E">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9032680C">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1EF636D2">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8847BCC">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B628B180">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EBDCF012">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6652E9B8">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B8D08C7E">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5550E1"/>
    <w:multiLevelType w:val="hybridMultilevel"/>
    <w:tmpl w:val="FDF06E3E"/>
    <w:lvl w:ilvl="0" w:tplc="AAB8BF90">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E6C3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B88E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A213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E28F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2ECE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AE79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F04D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5C2F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28323A"/>
    <w:multiLevelType w:val="hybridMultilevel"/>
    <w:tmpl w:val="54B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43602"/>
    <w:multiLevelType w:val="hybridMultilevel"/>
    <w:tmpl w:val="74182D48"/>
    <w:lvl w:ilvl="0" w:tplc="7FF20FAC">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A279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147E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CCE6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6A73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6C2D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86495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78E1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104B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43A42CD"/>
    <w:multiLevelType w:val="hybridMultilevel"/>
    <w:tmpl w:val="F7B0C570"/>
    <w:lvl w:ilvl="0" w:tplc="0DC0CBEA">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F8B5E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68C47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C616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1C22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A274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6408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0673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6608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53A0121"/>
    <w:multiLevelType w:val="multilevel"/>
    <w:tmpl w:val="FBD4ABEA"/>
    <w:lvl w:ilvl="0">
      <w:start w:val="5"/>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4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2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1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Chuck (COM)">
    <w15:presenceInfo w15:providerId="AD" w15:userId="S-1-5-21-745485368-1234062759-1797159998-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50"/>
    <w:rsid w:val="000D4104"/>
    <w:rsid w:val="00106069"/>
    <w:rsid w:val="001B01D0"/>
    <w:rsid w:val="001C1889"/>
    <w:rsid w:val="00232550"/>
    <w:rsid w:val="002E2F26"/>
    <w:rsid w:val="002F35B4"/>
    <w:rsid w:val="003140E9"/>
    <w:rsid w:val="00361FB6"/>
    <w:rsid w:val="003919D0"/>
    <w:rsid w:val="004036B4"/>
    <w:rsid w:val="004474CA"/>
    <w:rsid w:val="00460B26"/>
    <w:rsid w:val="004B0C29"/>
    <w:rsid w:val="004B30A5"/>
    <w:rsid w:val="004F0D5A"/>
    <w:rsid w:val="00543DBE"/>
    <w:rsid w:val="00573FEF"/>
    <w:rsid w:val="00633789"/>
    <w:rsid w:val="00642156"/>
    <w:rsid w:val="006C20E6"/>
    <w:rsid w:val="00705413"/>
    <w:rsid w:val="00771897"/>
    <w:rsid w:val="0077693B"/>
    <w:rsid w:val="00884D31"/>
    <w:rsid w:val="008B19EB"/>
    <w:rsid w:val="008B7262"/>
    <w:rsid w:val="008C3013"/>
    <w:rsid w:val="00903DA8"/>
    <w:rsid w:val="00917BB1"/>
    <w:rsid w:val="009F5C85"/>
    <w:rsid w:val="00A01234"/>
    <w:rsid w:val="00A448A4"/>
    <w:rsid w:val="00A96D1E"/>
    <w:rsid w:val="00B25A0E"/>
    <w:rsid w:val="00B81920"/>
    <w:rsid w:val="00C22032"/>
    <w:rsid w:val="00C57B60"/>
    <w:rsid w:val="00D11A0C"/>
    <w:rsid w:val="00D322B4"/>
    <w:rsid w:val="00D33874"/>
    <w:rsid w:val="00DC15DA"/>
    <w:rsid w:val="00E43A3D"/>
    <w:rsid w:val="00ED0098"/>
    <w:rsid w:val="00ED3265"/>
    <w:rsid w:val="00F4418B"/>
    <w:rsid w:val="00F9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49A3"/>
  <w15:chartTrackingRefBased/>
  <w15:docId w15:val="{9970EE34-8C24-409E-8D4A-6EFD9F28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50"/>
    <w:pPr>
      <w:spacing w:after="45" w:line="247" w:lineRule="auto"/>
      <w:ind w:firstLine="134"/>
      <w:jc w:val="both"/>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rsid w:val="007718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Normal"/>
    <w:link w:val="Heading3Char"/>
    <w:uiPriority w:val="9"/>
    <w:unhideWhenUsed/>
    <w:qFormat/>
    <w:rsid w:val="00232550"/>
    <w:pPr>
      <w:keepNext/>
      <w:keepLines/>
      <w:spacing w:after="83" w:line="252" w:lineRule="auto"/>
      <w:ind w:left="10" w:right="213" w:hanging="10"/>
      <w:outlineLvl w:val="2"/>
    </w:pPr>
    <w:rPr>
      <w:rFonts w:ascii="Arial" w:eastAsia="Arial" w:hAnsi="Arial" w:cs="Arial"/>
      <w:b/>
      <w:color w:val="000000"/>
      <w:sz w:val="20"/>
    </w:rPr>
  </w:style>
  <w:style w:type="paragraph" w:styleId="Heading5">
    <w:name w:val="heading 5"/>
    <w:next w:val="Normal"/>
    <w:link w:val="Heading5Char"/>
    <w:uiPriority w:val="9"/>
    <w:unhideWhenUsed/>
    <w:qFormat/>
    <w:rsid w:val="00232550"/>
    <w:pPr>
      <w:keepNext/>
      <w:keepLines/>
      <w:spacing w:after="38" w:line="251" w:lineRule="auto"/>
      <w:ind w:left="10" w:right="1" w:hanging="10"/>
      <w:jc w:val="both"/>
      <w:outlineLvl w:val="4"/>
    </w:pPr>
    <w:rPr>
      <w:rFonts w:ascii="Times New Roman" w:eastAsia="Times New Roman" w:hAnsi="Times New Roman" w:cs="Times New Roman"/>
      <w:b/>
      <w:color w:val="000000"/>
      <w:sz w:val="20"/>
    </w:rPr>
  </w:style>
  <w:style w:type="paragraph" w:styleId="Heading6">
    <w:name w:val="heading 6"/>
    <w:basedOn w:val="Normal"/>
    <w:next w:val="Normal"/>
    <w:link w:val="Heading6Char"/>
    <w:uiPriority w:val="9"/>
    <w:semiHidden/>
    <w:unhideWhenUsed/>
    <w:qFormat/>
    <w:rsid w:val="00903DA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2550"/>
    <w:rPr>
      <w:rFonts w:ascii="Arial" w:eastAsia="Arial" w:hAnsi="Arial" w:cs="Arial"/>
      <w:b/>
      <w:color w:val="000000"/>
      <w:sz w:val="20"/>
    </w:rPr>
  </w:style>
  <w:style w:type="character" w:customStyle="1" w:styleId="Heading5Char">
    <w:name w:val="Heading 5 Char"/>
    <w:basedOn w:val="DefaultParagraphFont"/>
    <w:link w:val="Heading5"/>
    <w:uiPriority w:val="9"/>
    <w:rsid w:val="00232550"/>
    <w:rPr>
      <w:rFonts w:ascii="Times New Roman" w:eastAsia="Times New Roman" w:hAnsi="Times New Roman" w:cs="Times New Roman"/>
      <w:b/>
      <w:color w:val="000000"/>
      <w:sz w:val="20"/>
    </w:rPr>
  </w:style>
  <w:style w:type="character" w:styleId="CommentReference">
    <w:name w:val="annotation reference"/>
    <w:basedOn w:val="DefaultParagraphFont"/>
    <w:uiPriority w:val="99"/>
    <w:semiHidden/>
    <w:unhideWhenUsed/>
    <w:rsid w:val="00232550"/>
    <w:rPr>
      <w:sz w:val="16"/>
      <w:szCs w:val="16"/>
    </w:rPr>
  </w:style>
  <w:style w:type="paragraph" w:styleId="CommentText">
    <w:name w:val="annotation text"/>
    <w:basedOn w:val="Normal"/>
    <w:link w:val="CommentTextChar"/>
    <w:uiPriority w:val="99"/>
    <w:unhideWhenUsed/>
    <w:rsid w:val="00232550"/>
    <w:pPr>
      <w:spacing w:line="240" w:lineRule="auto"/>
    </w:pPr>
    <w:rPr>
      <w:szCs w:val="20"/>
    </w:rPr>
  </w:style>
  <w:style w:type="character" w:customStyle="1" w:styleId="CommentTextChar">
    <w:name w:val="Comment Text Char"/>
    <w:basedOn w:val="DefaultParagraphFont"/>
    <w:link w:val="CommentText"/>
    <w:uiPriority w:val="99"/>
    <w:rsid w:val="0023255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32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550"/>
    <w:rPr>
      <w:rFonts w:ascii="Segoe UI" w:eastAsia="Times New Roman" w:hAnsi="Segoe UI" w:cs="Segoe UI"/>
      <w:color w:val="000000"/>
      <w:sz w:val="18"/>
      <w:szCs w:val="18"/>
    </w:rPr>
  </w:style>
  <w:style w:type="table" w:customStyle="1" w:styleId="TableGrid">
    <w:name w:val="TableGrid"/>
    <w:rsid w:val="00232550"/>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32550"/>
    <w:pPr>
      <w:ind w:left="720"/>
      <w:contextualSpacing/>
    </w:pPr>
  </w:style>
  <w:style w:type="character" w:customStyle="1" w:styleId="Heading6Char">
    <w:name w:val="Heading 6 Char"/>
    <w:basedOn w:val="DefaultParagraphFont"/>
    <w:link w:val="Heading6"/>
    <w:uiPriority w:val="9"/>
    <w:semiHidden/>
    <w:rsid w:val="00903DA8"/>
    <w:rPr>
      <w:rFonts w:asciiTheme="majorHAnsi" w:eastAsiaTheme="majorEastAsia" w:hAnsiTheme="majorHAnsi" w:cstheme="majorBidi"/>
      <w:color w:val="1F4D78" w:themeColor="accent1" w:themeShade="7F"/>
      <w:sz w:val="20"/>
    </w:rPr>
  </w:style>
  <w:style w:type="paragraph" w:styleId="CommentSubject">
    <w:name w:val="annotation subject"/>
    <w:basedOn w:val="CommentText"/>
    <w:next w:val="CommentText"/>
    <w:link w:val="CommentSubjectChar"/>
    <w:uiPriority w:val="99"/>
    <w:semiHidden/>
    <w:unhideWhenUsed/>
    <w:rsid w:val="00C57B60"/>
    <w:rPr>
      <w:b/>
      <w:bCs/>
    </w:rPr>
  </w:style>
  <w:style w:type="character" w:customStyle="1" w:styleId="CommentSubjectChar">
    <w:name w:val="Comment Subject Char"/>
    <w:basedOn w:val="CommentTextChar"/>
    <w:link w:val="CommentSubject"/>
    <w:uiPriority w:val="99"/>
    <w:semiHidden/>
    <w:rsid w:val="00C57B60"/>
    <w:rPr>
      <w:rFonts w:ascii="Times New Roman" w:eastAsia="Times New Roman" w:hAnsi="Times New Roman" w:cs="Times New Roman"/>
      <w:b/>
      <w:bCs/>
      <w:color w:val="000000"/>
      <w:sz w:val="20"/>
      <w:szCs w:val="20"/>
    </w:rPr>
  </w:style>
  <w:style w:type="character" w:customStyle="1" w:styleId="Heading1Char">
    <w:name w:val="Heading 1 Char"/>
    <w:basedOn w:val="DefaultParagraphFont"/>
    <w:link w:val="Heading1"/>
    <w:uiPriority w:val="9"/>
    <w:rsid w:val="0077189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52473">
      <w:bodyDiv w:val="1"/>
      <w:marLeft w:val="0"/>
      <w:marRight w:val="0"/>
      <w:marTop w:val="0"/>
      <w:marBottom w:val="0"/>
      <w:divBdr>
        <w:top w:val="none" w:sz="0" w:space="0" w:color="auto"/>
        <w:left w:val="none" w:sz="0" w:space="0" w:color="auto"/>
        <w:bottom w:val="none" w:sz="0" w:space="0" w:color="auto"/>
        <w:right w:val="none" w:sz="0" w:space="0" w:color="auto"/>
      </w:divBdr>
      <w:divsChild>
        <w:div w:id="1235815873">
          <w:marLeft w:val="0"/>
          <w:marRight w:val="0"/>
          <w:marTop w:val="0"/>
          <w:marBottom w:val="0"/>
          <w:divBdr>
            <w:top w:val="none" w:sz="0" w:space="0" w:color="auto"/>
            <w:left w:val="none" w:sz="0" w:space="0" w:color="auto"/>
            <w:bottom w:val="none" w:sz="0" w:space="0" w:color="auto"/>
            <w:right w:val="none" w:sz="0" w:space="0" w:color="auto"/>
          </w:divBdr>
        </w:div>
        <w:div w:id="985545303">
          <w:marLeft w:val="0"/>
          <w:marRight w:val="0"/>
          <w:marTop w:val="0"/>
          <w:marBottom w:val="0"/>
          <w:divBdr>
            <w:top w:val="none" w:sz="0" w:space="0" w:color="auto"/>
            <w:left w:val="none" w:sz="0" w:space="0" w:color="auto"/>
            <w:bottom w:val="none" w:sz="0" w:space="0" w:color="auto"/>
            <w:right w:val="none" w:sz="0" w:space="0" w:color="auto"/>
          </w:divBdr>
        </w:div>
      </w:divsChild>
    </w:div>
    <w:div w:id="1776515890">
      <w:bodyDiv w:val="1"/>
      <w:marLeft w:val="0"/>
      <w:marRight w:val="0"/>
      <w:marTop w:val="0"/>
      <w:marBottom w:val="0"/>
      <w:divBdr>
        <w:top w:val="none" w:sz="0" w:space="0" w:color="auto"/>
        <w:left w:val="none" w:sz="0" w:space="0" w:color="auto"/>
        <w:bottom w:val="none" w:sz="0" w:space="0" w:color="auto"/>
        <w:right w:val="none" w:sz="0" w:space="0" w:color="auto"/>
      </w:divBdr>
    </w:div>
    <w:div w:id="19097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erce.wa.gov/buildings" TargetMode="External"/><Relationship Id="rId11" Type="http://schemas.microsoft.com/office/2011/relationships/people" Target="people.xml"/><Relationship Id="rId5" Type="http://schemas.openxmlformats.org/officeDocument/2006/relationships/hyperlink" Target="mailto:buildings@commerce.w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2417</Words>
  <Characters>13783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Chuck (COM)</dc:creator>
  <cp:keywords/>
  <dc:description/>
  <cp:lastModifiedBy>Scharff, Austin (COM)</cp:lastModifiedBy>
  <cp:revision>2</cp:revision>
  <dcterms:created xsi:type="dcterms:W3CDTF">2020-05-13T17:44:00Z</dcterms:created>
  <dcterms:modified xsi:type="dcterms:W3CDTF">2020-05-13T17:44:00Z</dcterms:modified>
</cp:coreProperties>
</file>