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0721" w14:textId="1D2F61C9" w:rsidR="00FB7113" w:rsidRDefault="00125429" w:rsidP="00086966">
      <w:pPr>
        <w:jc w:val="center"/>
        <w:rPr>
          <w:b/>
        </w:rPr>
      </w:pPr>
      <w:bookmarkStart w:id="0" w:name="_GoBack"/>
      <w:r w:rsidRPr="00412BC9">
        <w:rPr>
          <w:b/>
        </w:rPr>
        <w:t>Chapter 194-40 Clean Energy Transformation</w:t>
      </w:r>
    </w:p>
    <w:bookmarkEnd w:id="0"/>
    <w:p w14:paraId="537FABE5" w14:textId="77777777" w:rsidR="009F3D6D" w:rsidRDefault="009A4265" w:rsidP="009F3D6D">
      <w:pPr>
        <w:pBdr>
          <w:bottom w:val="single" w:sz="6" w:space="1" w:color="auto"/>
        </w:pBdr>
        <w:spacing w:after="160" w:line="259" w:lineRule="auto"/>
        <w:jc w:val="center"/>
        <w:rPr>
          <w:b/>
        </w:rPr>
      </w:pPr>
      <w:r>
        <w:rPr>
          <w:b/>
        </w:rPr>
        <w:t>Planning Requirements</w:t>
      </w:r>
      <w:r w:rsidR="009F3D6D">
        <w:rPr>
          <w:b/>
        </w:rPr>
        <w:t xml:space="preserve"> </w:t>
      </w:r>
    </w:p>
    <w:p w14:paraId="502268DF" w14:textId="0F73A61F" w:rsidR="009F3D6D" w:rsidRPr="00A310AE" w:rsidRDefault="009F3D6D" w:rsidP="00A310AE">
      <w:pPr>
        <w:pBdr>
          <w:bottom w:val="single" w:sz="6" w:space="1" w:color="auto"/>
        </w:pBdr>
        <w:spacing w:after="160" w:line="259" w:lineRule="auto"/>
        <w:jc w:val="center"/>
        <w:rPr>
          <w:b/>
        </w:rPr>
      </w:pPr>
      <w:r>
        <w:rPr>
          <w:b/>
        </w:rPr>
        <w:t>Workshop</w:t>
      </w:r>
      <w:r w:rsidR="005A3F40">
        <w:rPr>
          <w:b/>
        </w:rPr>
        <w:t xml:space="preserve"> Discussion</w:t>
      </w:r>
      <w:r>
        <w:rPr>
          <w:b/>
        </w:rPr>
        <w:t xml:space="preserve"> Draft</w:t>
      </w:r>
    </w:p>
    <w:p w14:paraId="4DCB815E" w14:textId="7EA6C251" w:rsidR="00125429" w:rsidRPr="00765286" w:rsidRDefault="00C43AB5" w:rsidP="00C43AB5">
      <w:r>
        <w:rPr>
          <w:b/>
        </w:rPr>
        <w:t xml:space="preserve">WAC 194-40-200 </w:t>
      </w:r>
      <w:r w:rsidR="00125429" w:rsidRPr="00C43AB5">
        <w:rPr>
          <w:b/>
        </w:rPr>
        <w:t xml:space="preserve">– </w:t>
      </w:r>
      <w:r w:rsidR="00DB0B3C" w:rsidRPr="00C43AB5">
        <w:rPr>
          <w:b/>
        </w:rPr>
        <w:t>Clean energy implementation plan</w:t>
      </w:r>
      <w:r w:rsidR="00765286" w:rsidRPr="00C43AB5">
        <w:rPr>
          <w:b/>
        </w:rPr>
        <w:t xml:space="preserve"> </w:t>
      </w:r>
      <w:r w:rsidR="00765286">
        <w:t>[19.405.0</w:t>
      </w:r>
      <w:r w:rsidR="00765286" w:rsidRPr="0064474E">
        <w:t>6</w:t>
      </w:r>
      <w:r w:rsidR="00765286">
        <w:t>0]</w:t>
      </w:r>
    </w:p>
    <w:p w14:paraId="66807464" w14:textId="77777777" w:rsidR="00C16ECF" w:rsidRDefault="00383827" w:rsidP="00C16ECF">
      <w:pPr>
        <w:pStyle w:val="ListParagraph"/>
        <w:numPr>
          <w:ilvl w:val="0"/>
          <w:numId w:val="21"/>
        </w:numPr>
      </w:pPr>
      <w:r>
        <w:t>Each</w:t>
      </w:r>
      <w:r w:rsidR="000345A8">
        <w:t xml:space="preserve"> </w:t>
      </w:r>
      <w:r w:rsidR="00FB4ACC">
        <w:t xml:space="preserve">utility must identify in each </w:t>
      </w:r>
      <w:r w:rsidR="000345A8">
        <w:t xml:space="preserve">CEIP the </w:t>
      </w:r>
      <w:r w:rsidR="000345A8" w:rsidRPr="000345A8">
        <w:t xml:space="preserve">specific actions to be taken by the </w:t>
      </w:r>
      <w:r w:rsidR="000345A8">
        <w:t xml:space="preserve">utility during the next interim compliance period or GHG neutral compliance period to </w:t>
      </w:r>
      <w:r w:rsidR="000345A8" w:rsidRPr="000345A8">
        <w:t xml:space="preserve">demonstrate progress toward meeting the standards under RCW 19.405.040(1) and 19.405.050(1) and the interim targets proposed under </w:t>
      </w:r>
      <w:r w:rsidR="000345A8">
        <w:t>subsections (2) and (3)</w:t>
      </w:r>
      <w:r w:rsidR="000345A8" w:rsidRPr="000345A8">
        <w:t>.</w:t>
      </w:r>
    </w:p>
    <w:p w14:paraId="16B06598" w14:textId="77777777" w:rsidR="00C16ECF" w:rsidRDefault="000345A8" w:rsidP="00C16ECF">
      <w:pPr>
        <w:pStyle w:val="ListParagraph"/>
        <w:numPr>
          <w:ilvl w:val="0"/>
          <w:numId w:val="21"/>
        </w:numPr>
      </w:pPr>
      <w:r>
        <w:t>The</w:t>
      </w:r>
      <w:r w:rsidR="00831D57" w:rsidRPr="0064474E">
        <w:t xml:space="preserve"> CEIP </w:t>
      </w:r>
      <w:r w:rsidR="00611194">
        <w:t xml:space="preserve">must specify </w:t>
      </w:r>
      <w:r w:rsidR="00831D57" w:rsidRPr="0064474E">
        <w:t xml:space="preserve">an interim target for the percentage of retail load to be served using renewable and </w:t>
      </w:r>
      <w:proofErr w:type="spellStart"/>
      <w:r w:rsidR="00831D57" w:rsidRPr="0064474E">
        <w:t>nonemitting</w:t>
      </w:r>
      <w:proofErr w:type="spellEnd"/>
      <w:r w:rsidR="00831D57" w:rsidRPr="0064474E">
        <w:t xml:space="preserve"> resources during the </w:t>
      </w:r>
      <w:r w:rsidR="00DB0B3C">
        <w:t xml:space="preserve">period </w:t>
      </w:r>
      <w:r w:rsidR="00831D57" w:rsidRPr="0064474E">
        <w:t xml:space="preserve">covered by the CEIP. </w:t>
      </w:r>
    </w:p>
    <w:p w14:paraId="2698DB1D" w14:textId="77777777" w:rsidR="00C16ECF" w:rsidRDefault="00831D57" w:rsidP="00C16ECF">
      <w:pPr>
        <w:pStyle w:val="ListParagraph"/>
        <w:numPr>
          <w:ilvl w:val="1"/>
          <w:numId w:val="21"/>
        </w:numPr>
      </w:pPr>
      <w:r w:rsidRPr="0064474E">
        <w:t>The interim target may provide for the use of alternative compliance options identified in RCW 19.405.040(1</w:t>
      </w:r>
      <w:proofErr w:type="gramStart"/>
      <w:r w:rsidRPr="0064474E">
        <w:t>)(</w:t>
      </w:r>
      <w:proofErr w:type="gramEnd"/>
      <w:r w:rsidRPr="0064474E">
        <w:t xml:space="preserve">b). </w:t>
      </w:r>
    </w:p>
    <w:p w14:paraId="28BC1653" w14:textId="77777777" w:rsidR="00C16ECF" w:rsidRDefault="00831D57" w:rsidP="00C16ECF">
      <w:pPr>
        <w:pStyle w:val="ListParagraph"/>
        <w:numPr>
          <w:ilvl w:val="1"/>
          <w:numId w:val="21"/>
        </w:numPr>
      </w:pPr>
      <w:r w:rsidRPr="0064474E">
        <w:t>The interim target may reflect an assumption of median water conditions for the utility’s owned or contracted hydroelectric resources.</w:t>
      </w:r>
    </w:p>
    <w:p w14:paraId="1D74E287" w14:textId="77777777" w:rsidR="00C16ECF" w:rsidRDefault="00202299" w:rsidP="00C16ECF">
      <w:pPr>
        <w:pStyle w:val="ListParagraph"/>
        <w:numPr>
          <w:ilvl w:val="0"/>
          <w:numId w:val="21"/>
        </w:numPr>
      </w:pPr>
      <w:r>
        <w:t>T</w:t>
      </w:r>
      <w:r w:rsidR="000345A8">
        <w:t>he</w:t>
      </w:r>
      <w:r w:rsidR="00DB0B3C">
        <w:t xml:space="preserve"> CEIP </w:t>
      </w:r>
      <w:r w:rsidR="00611194">
        <w:t xml:space="preserve">must specify specific </w:t>
      </w:r>
      <w:r w:rsidR="00831D57" w:rsidRPr="0064474E">
        <w:t>target</w:t>
      </w:r>
      <w:r w:rsidR="00611194">
        <w:t>s</w:t>
      </w:r>
      <w:r w:rsidR="00841FC5">
        <w:t>,</w:t>
      </w:r>
      <w:r w:rsidR="00831D57" w:rsidRPr="0064474E">
        <w:t xml:space="preserve"> for the </w:t>
      </w:r>
      <w:r w:rsidR="00A43ACD">
        <w:t xml:space="preserve">interim compliance period or GHG neutral compliance </w:t>
      </w:r>
      <w:r w:rsidR="00831D57" w:rsidRPr="0064474E">
        <w:t>period covered by the CEIP</w:t>
      </w:r>
      <w:r w:rsidR="00841FC5">
        <w:t>,</w:t>
      </w:r>
      <w:r w:rsidR="00831D57" w:rsidRPr="0064474E">
        <w:t xml:space="preserve"> for </w:t>
      </w:r>
      <w:r w:rsidR="00841FC5">
        <w:t xml:space="preserve">each of </w:t>
      </w:r>
      <w:r w:rsidR="00831D57" w:rsidRPr="0064474E">
        <w:t>the following categories of resources:</w:t>
      </w:r>
    </w:p>
    <w:p w14:paraId="10736786" w14:textId="77777777" w:rsidR="00C16ECF" w:rsidRDefault="00831D57" w:rsidP="00C16ECF">
      <w:pPr>
        <w:pStyle w:val="ListParagraph"/>
        <w:numPr>
          <w:ilvl w:val="1"/>
          <w:numId w:val="21"/>
        </w:numPr>
      </w:pPr>
      <w:r w:rsidRPr="00C16ECF">
        <w:rPr>
          <w:b/>
        </w:rPr>
        <w:t xml:space="preserve">Energy </w:t>
      </w:r>
      <w:r w:rsidR="00D85E0D" w:rsidRPr="00C16ECF">
        <w:rPr>
          <w:b/>
        </w:rPr>
        <w:t>efficiency.</w:t>
      </w:r>
      <w:r w:rsidR="00D85E0D" w:rsidRPr="0064474E">
        <w:t xml:space="preserve"> The utility</w:t>
      </w:r>
      <w:r w:rsidR="00841FC5">
        <w:t xml:space="preserve"> must </w:t>
      </w:r>
      <w:r w:rsidR="007F00F1">
        <w:t>specify</w:t>
      </w:r>
      <w:r w:rsidR="00611194">
        <w:t xml:space="preserve"> a </w:t>
      </w:r>
      <w:r w:rsidR="00D85E0D" w:rsidRPr="0064474E">
        <w:t>target</w:t>
      </w:r>
      <w:r w:rsidR="00611194">
        <w:t xml:space="preserve"> for the amount,</w:t>
      </w:r>
      <w:r w:rsidR="00611194" w:rsidRPr="00611194">
        <w:t xml:space="preserve"> </w:t>
      </w:r>
      <w:r w:rsidR="00611194">
        <w:t>expressed in megawatt-hours of first-year savings,</w:t>
      </w:r>
      <w:r w:rsidR="00611194" w:rsidRPr="0064474E">
        <w:t xml:space="preserve"> </w:t>
      </w:r>
      <w:r w:rsidR="00611194">
        <w:t>of energy efficiency resources expected to be acquired during the period. The energy efficiency target must comply</w:t>
      </w:r>
      <w:r w:rsidR="008D2C27">
        <w:t xml:space="preserve"> with WAC 194-40-330(1).</w:t>
      </w:r>
    </w:p>
    <w:p w14:paraId="4300F22A" w14:textId="77777777" w:rsidR="00C16ECF" w:rsidRDefault="008D2C27" w:rsidP="00C16ECF">
      <w:pPr>
        <w:pStyle w:val="ListParagraph"/>
        <w:numPr>
          <w:ilvl w:val="1"/>
          <w:numId w:val="21"/>
        </w:numPr>
      </w:pPr>
      <w:r w:rsidRPr="00C16ECF">
        <w:rPr>
          <w:b/>
        </w:rPr>
        <w:t xml:space="preserve">Demand response resources. </w:t>
      </w:r>
      <w:r>
        <w:t xml:space="preserve">The utility must specify a target </w:t>
      </w:r>
      <w:r w:rsidR="00611194">
        <w:t xml:space="preserve">for the amount, expressed in megawatts, of demand response resources expected to be acquired during the period. The demand response target must comply with </w:t>
      </w:r>
      <w:r>
        <w:t>WAC 194-40-330(2).</w:t>
      </w:r>
    </w:p>
    <w:p w14:paraId="15D4EFB8" w14:textId="4EEBB163" w:rsidR="00310938" w:rsidRDefault="00FB4ACC" w:rsidP="00C16ECF">
      <w:pPr>
        <w:pStyle w:val="ListParagraph"/>
        <w:numPr>
          <w:ilvl w:val="1"/>
          <w:numId w:val="21"/>
        </w:numPr>
      </w:pPr>
      <w:r w:rsidRPr="00C16ECF">
        <w:rPr>
          <w:b/>
        </w:rPr>
        <w:t xml:space="preserve">Renewable energy. </w:t>
      </w:r>
      <w:r>
        <w:t>The utility’s target for renewable energy must identify the increased quantity in MWh of renewable electricity, relative the average quantity of renewable electricity used in the four years prior to the period.</w:t>
      </w:r>
    </w:p>
    <w:p w14:paraId="230980FF" w14:textId="77777777" w:rsidR="00C16ECF" w:rsidRDefault="00E77918" w:rsidP="00C16ECF">
      <w:pPr>
        <w:pStyle w:val="ListParagraph"/>
        <w:numPr>
          <w:ilvl w:val="0"/>
          <w:numId w:val="21"/>
        </w:numPr>
      </w:pPr>
      <w:r>
        <w:t xml:space="preserve">The CEIP </w:t>
      </w:r>
      <w:r w:rsidR="00202299">
        <w:t xml:space="preserve">must describe </w:t>
      </w:r>
      <w:r>
        <w:t xml:space="preserve">specific actions to be taken </w:t>
      </w:r>
      <w:r w:rsidR="007D5353">
        <w:t xml:space="preserve">during the period </w:t>
      </w:r>
      <w:r>
        <w:t xml:space="preserve">by the utility to ensure that all customers are benefiting from the transition to clean energy, as required by RCW 19.405.040(8). The CEIP must, at a minimum: </w:t>
      </w:r>
    </w:p>
    <w:p w14:paraId="475B7FEC" w14:textId="08C5B04F" w:rsidR="00FB4ACC" w:rsidRDefault="00FB4ACC" w:rsidP="00C16ECF">
      <w:pPr>
        <w:pStyle w:val="ListParagraph"/>
        <w:numPr>
          <w:ilvl w:val="1"/>
          <w:numId w:val="21"/>
        </w:numPr>
      </w:pPr>
      <w:r>
        <w:t>Assess the potential</w:t>
      </w:r>
      <w:r w:rsidR="007D5353">
        <w:t xml:space="preserve"> effect</w:t>
      </w:r>
      <w:r>
        <w:t xml:space="preserve"> of the </w:t>
      </w:r>
      <w:r w:rsidR="007D5353">
        <w:t xml:space="preserve">utility’s </w:t>
      </w:r>
      <w:r>
        <w:t>planned resource acquisitions</w:t>
      </w:r>
      <w:r w:rsidR="0089160F">
        <w:t xml:space="preserve"> and programs</w:t>
      </w:r>
      <w:r>
        <w:t xml:space="preserve"> </w:t>
      </w:r>
      <w:r w:rsidR="007D5353">
        <w:t>on</w:t>
      </w:r>
      <w:r>
        <w:t xml:space="preserve"> the distribution of energy and </w:t>
      </w:r>
      <w:proofErr w:type="spellStart"/>
      <w:r>
        <w:t>nonenergy</w:t>
      </w:r>
      <w:proofErr w:type="spellEnd"/>
      <w:r>
        <w:t xml:space="preserve"> benefits among the utility’s customers. For example, any</w:t>
      </w:r>
      <w:r w:rsidR="0089160F">
        <w:t xml:space="preserve"> action, </w:t>
      </w:r>
      <w:r>
        <w:t xml:space="preserve">resource </w:t>
      </w:r>
      <w:r w:rsidR="0089160F">
        <w:t xml:space="preserve">acquisition, or program </w:t>
      </w:r>
      <w:r>
        <w:t xml:space="preserve">that </w:t>
      </w:r>
      <w:r w:rsidR="0089160F">
        <w:t>modifies</w:t>
      </w:r>
      <w:r>
        <w:t xml:space="preserve"> the electricity consumption of </w:t>
      </w:r>
      <w:r w:rsidR="0089160F">
        <w:t xml:space="preserve">individual </w:t>
      </w:r>
      <w:r>
        <w:t xml:space="preserve">customers has a potential positive or negative effect on the equitable distribution of energy and </w:t>
      </w:r>
      <w:proofErr w:type="spellStart"/>
      <w:r>
        <w:t>nonenergy</w:t>
      </w:r>
      <w:proofErr w:type="spellEnd"/>
      <w:r>
        <w:t xml:space="preserve"> benefits.</w:t>
      </w:r>
    </w:p>
    <w:p w14:paraId="2F5D532B" w14:textId="73359A5A" w:rsidR="007D5353" w:rsidRDefault="009E60E6" w:rsidP="00C16ECF">
      <w:pPr>
        <w:pStyle w:val="ListParagraph"/>
        <w:numPr>
          <w:ilvl w:val="1"/>
          <w:numId w:val="21"/>
        </w:numPr>
      </w:pPr>
      <w:r>
        <w:t>Identify the highly impacted communities</w:t>
      </w:r>
      <w:r w:rsidR="006F46B0">
        <w:t>, as defined in RCW 19.405.020(23</w:t>
      </w:r>
      <w:proofErr w:type="gramStart"/>
      <w:r w:rsidR="006F46B0">
        <w:t>),</w:t>
      </w:r>
      <w:r>
        <w:t xml:space="preserve"> that</w:t>
      </w:r>
      <w:proofErr w:type="gramEnd"/>
      <w:r>
        <w:t xml:space="preserve"> are affected by the utility’s operations and a</w:t>
      </w:r>
      <w:r w:rsidR="007D5353">
        <w:t xml:space="preserve">ssess the potential effect of the utility’s </w:t>
      </w:r>
      <w:r>
        <w:t>planned resource acquisitions and programs on the benefits and burdens of those communities</w:t>
      </w:r>
      <w:r w:rsidR="007D5353">
        <w:t>.</w:t>
      </w:r>
    </w:p>
    <w:p w14:paraId="34B7C157" w14:textId="6A300588" w:rsidR="009E60E6" w:rsidRDefault="009E60E6" w:rsidP="00C16ECF">
      <w:pPr>
        <w:pStyle w:val="ListParagraph"/>
        <w:numPr>
          <w:ilvl w:val="1"/>
          <w:numId w:val="21"/>
        </w:numPr>
      </w:pPr>
      <w:r>
        <w:lastRenderedPageBreak/>
        <w:t>Identify the vulnerable populations</w:t>
      </w:r>
      <w:r w:rsidR="006F46B0">
        <w:t>, as defined in RCW 19.405.020(40</w:t>
      </w:r>
      <w:proofErr w:type="gramStart"/>
      <w:r w:rsidR="006F46B0">
        <w:t>),</w:t>
      </w:r>
      <w:r>
        <w:t xml:space="preserve"> that</w:t>
      </w:r>
      <w:proofErr w:type="gramEnd"/>
      <w:r>
        <w:t xml:space="preserve"> are affected by the utility’s operations and assess the potential effect of the utility’s planned resource acquisitions and programs on the benefits and burdens of those populations. </w:t>
      </w:r>
    </w:p>
    <w:p w14:paraId="106EB742" w14:textId="6C60067F" w:rsidR="00E77918" w:rsidRDefault="009E60E6" w:rsidP="00C16ECF">
      <w:pPr>
        <w:pStyle w:val="ListParagraph"/>
        <w:numPr>
          <w:ilvl w:val="1"/>
          <w:numId w:val="21"/>
        </w:numPr>
      </w:pPr>
      <w:r>
        <w:t>Describe the potential effect of the utility’s planned resource acquisitions and programs on (</w:t>
      </w:r>
      <w:proofErr w:type="spellStart"/>
      <w:r>
        <w:t>i</w:t>
      </w:r>
      <w:proofErr w:type="spellEnd"/>
      <w:r>
        <w:t xml:space="preserve">) </w:t>
      </w:r>
      <w:r w:rsidR="00E77918" w:rsidRPr="00DC3019">
        <w:t>long-term and short-term public health and environmental benefits</w:t>
      </w:r>
      <w:r>
        <w:t xml:space="preserve"> and (ii) energy security and resiliency</w:t>
      </w:r>
      <w:r w:rsidR="006F303B">
        <w:t>.</w:t>
      </w:r>
    </w:p>
    <w:p w14:paraId="0D5FD748" w14:textId="2A1546AD" w:rsidR="009E60E6" w:rsidRDefault="009E60E6" w:rsidP="00C16ECF">
      <w:pPr>
        <w:pStyle w:val="ListParagraph"/>
        <w:numPr>
          <w:ilvl w:val="1"/>
          <w:numId w:val="21"/>
        </w:numPr>
      </w:pPr>
      <w:r>
        <w:t xml:space="preserve">Describe the process of outreach and public input conducted by the utility to make the assessments required by this subsection (4). </w:t>
      </w:r>
    </w:p>
    <w:p w14:paraId="440BEB18" w14:textId="0383BE76" w:rsidR="00383827" w:rsidRDefault="00383827" w:rsidP="00C16ECF">
      <w:pPr>
        <w:pStyle w:val="ListParagraph"/>
        <w:numPr>
          <w:ilvl w:val="0"/>
          <w:numId w:val="21"/>
        </w:numPr>
      </w:pPr>
      <w:r>
        <w:t>The CEIP must include a summary of public comments from the process conducted in compliance with WAC 194-40-220 and a description of how those comments were reflected in the CEIP.</w:t>
      </w:r>
    </w:p>
    <w:p w14:paraId="13F91BD4" w14:textId="1B3A455A" w:rsidR="00DC3019" w:rsidRDefault="00DC3019" w:rsidP="00C16ECF">
      <w:pPr>
        <w:pStyle w:val="ListParagraph"/>
        <w:numPr>
          <w:ilvl w:val="0"/>
          <w:numId w:val="21"/>
        </w:numPr>
      </w:pPr>
      <w:r w:rsidRPr="00DC3019">
        <w:t>T</w:t>
      </w:r>
      <w:r w:rsidR="00383827">
        <w:t>he CEIP must be</w:t>
      </w:r>
      <w:r w:rsidR="004802CD">
        <w:t xml:space="preserve"> consistent with the most recent </w:t>
      </w:r>
      <w:r w:rsidRPr="00DC3019">
        <w:t xml:space="preserve">integrated resource plan or resource plan, as applicable, </w:t>
      </w:r>
      <w:r w:rsidR="004802CD">
        <w:t xml:space="preserve">prepared by the utility under </w:t>
      </w:r>
      <w:r w:rsidRPr="00DC3019">
        <w:t>RCW 19.280.030.</w:t>
      </w:r>
    </w:p>
    <w:p w14:paraId="5979B333" w14:textId="77777777" w:rsidR="00383827" w:rsidRDefault="007D6E19" w:rsidP="00C16ECF">
      <w:pPr>
        <w:pStyle w:val="ListParagraph"/>
        <w:numPr>
          <w:ilvl w:val="0"/>
          <w:numId w:val="21"/>
        </w:numPr>
      </w:pPr>
      <w:r>
        <w:t xml:space="preserve">The CEIP must be </w:t>
      </w:r>
      <w:r w:rsidRPr="007D6E19">
        <w:t>informed by the consumer-owned utility's clean energy action plan developed under RCW 19.280.030(1) or other ten-year plan de</w:t>
      </w:r>
      <w:r>
        <w:t>veloped under RCW 19.280.030(5).</w:t>
      </w:r>
    </w:p>
    <w:p w14:paraId="23F70CB0" w14:textId="247BB7A3" w:rsidR="005649B9" w:rsidRDefault="00383827" w:rsidP="00C16ECF">
      <w:pPr>
        <w:pStyle w:val="ListParagraph"/>
        <w:numPr>
          <w:ilvl w:val="0"/>
          <w:numId w:val="21"/>
        </w:numPr>
      </w:pPr>
      <w:r>
        <w:t>I</w:t>
      </w:r>
      <w:r w:rsidR="001C5E1D">
        <w:t xml:space="preserve">f applicable, </w:t>
      </w:r>
      <w:r w:rsidR="007D6E19">
        <w:t>t</w:t>
      </w:r>
      <w:r w:rsidR="005649B9">
        <w:t xml:space="preserve">he CEIP must include the information required in WAC 194-40-230. </w:t>
      </w:r>
    </w:p>
    <w:p w14:paraId="3940C128" w14:textId="624E5FD9" w:rsidR="009F3D6D" w:rsidRDefault="009F3D6D" w:rsidP="009F3D6D"/>
    <w:p w14:paraId="73BFE1E5" w14:textId="3AE994BB" w:rsidR="009F3D6D" w:rsidRDefault="009F3D6D" w:rsidP="009F3D6D"/>
    <w:p w14:paraId="2DFBA187" w14:textId="1962D67C" w:rsidR="009F3D6D" w:rsidRDefault="009F3D6D" w:rsidP="009F3D6D"/>
    <w:p w14:paraId="7FCB174E" w14:textId="1B7E3085" w:rsidR="009F3D6D" w:rsidRDefault="009F3D6D" w:rsidP="009F3D6D"/>
    <w:p w14:paraId="53182FC3" w14:textId="444F9F14" w:rsidR="009F3D6D" w:rsidRDefault="009F3D6D" w:rsidP="009F3D6D"/>
    <w:p w14:paraId="3D96A399" w14:textId="5AAE5A7B" w:rsidR="009F3D6D" w:rsidRDefault="009F3D6D" w:rsidP="009F3D6D"/>
    <w:p w14:paraId="6DD1FAF8" w14:textId="621B3BD2" w:rsidR="009F3D6D" w:rsidRDefault="009F3D6D" w:rsidP="009F3D6D"/>
    <w:p w14:paraId="49D2C9BF" w14:textId="78387469" w:rsidR="009F3D6D" w:rsidRDefault="009F3D6D" w:rsidP="009F3D6D"/>
    <w:p w14:paraId="28D6C8BF" w14:textId="0071DCAE" w:rsidR="009F3D6D" w:rsidRDefault="009F3D6D" w:rsidP="009F3D6D"/>
    <w:p w14:paraId="2B2BBBAE" w14:textId="0E49FF0B" w:rsidR="009F3D6D" w:rsidRDefault="009F3D6D" w:rsidP="009F3D6D"/>
    <w:p w14:paraId="22A56140" w14:textId="01FC9CCE" w:rsidR="009F3D6D" w:rsidRDefault="009F3D6D" w:rsidP="009F3D6D"/>
    <w:p w14:paraId="297C9D49" w14:textId="6D57B6B1" w:rsidR="009F3D6D" w:rsidRDefault="009F3D6D" w:rsidP="00A310AE">
      <w:pPr>
        <w:jc w:val="center"/>
      </w:pPr>
    </w:p>
    <w:p w14:paraId="59089DE8" w14:textId="3A9EC5FE" w:rsidR="00DD366F" w:rsidRDefault="00DD366F" w:rsidP="00A310AE">
      <w:pPr>
        <w:jc w:val="center"/>
      </w:pPr>
    </w:p>
    <w:p w14:paraId="781E6CA6" w14:textId="423B122B" w:rsidR="00DD366F" w:rsidRDefault="00DD366F" w:rsidP="00A310AE">
      <w:pPr>
        <w:jc w:val="center"/>
      </w:pPr>
    </w:p>
    <w:p w14:paraId="6F34CAD1" w14:textId="77777777" w:rsidR="00DD366F" w:rsidRDefault="00DD366F" w:rsidP="00A310AE">
      <w:pPr>
        <w:jc w:val="center"/>
      </w:pPr>
    </w:p>
    <w:p w14:paraId="37755146" w14:textId="5562CC18" w:rsidR="00294DC7" w:rsidRPr="00765286" w:rsidRDefault="002F725D" w:rsidP="002F725D">
      <w:r>
        <w:rPr>
          <w:b/>
        </w:rPr>
        <w:lastRenderedPageBreak/>
        <w:t xml:space="preserve">WAC 194-40-210 </w:t>
      </w:r>
      <w:r w:rsidR="00130174" w:rsidRPr="002F725D">
        <w:rPr>
          <w:b/>
        </w:rPr>
        <w:t xml:space="preserve">– </w:t>
      </w:r>
      <w:r w:rsidR="00294DC7" w:rsidRPr="002F725D">
        <w:rPr>
          <w:b/>
        </w:rPr>
        <w:t>Resource adequacy standard</w:t>
      </w:r>
      <w:r w:rsidR="00765286">
        <w:t xml:space="preserve"> [19.280.030]</w:t>
      </w:r>
    </w:p>
    <w:p w14:paraId="7DA796CE" w14:textId="77777777" w:rsidR="00C16ECF" w:rsidRDefault="00294DC7" w:rsidP="00C16ECF">
      <w:pPr>
        <w:pStyle w:val="ListParagraph"/>
        <w:numPr>
          <w:ilvl w:val="0"/>
          <w:numId w:val="23"/>
        </w:numPr>
      </w:pPr>
      <w:r>
        <w:t xml:space="preserve">Each utility must establish a standard </w:t>
      </w:r>
      <w:r w:rsidR="00A82479">
        <w:t>for resource adequacy to be used in resource planning, including</w:t>
      </w:r>
      <w:r>
        <w:t xml:space="preserve"> assessing the need and type of generating resources, demand response resources, and conservation resources</w:t>
      </w:r>
      <w:r w:rsidR="00A82479">
        <w:t>. The resource adequacy standard must be consistent with prudent utility practices and r</w:t>
      </w:r>
      <w:r w:rsidR="00DA1734">
        <w:t>elevant reg</w:t>
      </w:r>
      <w:r w:rsidR="004802CD">
        <w:t>ulatory requirements and must</w:t>
      </w:r>
      <w:r w:rsidR="00D81BD6">
        <w:t xml:space="preserve"> include reasonable and nondiscriminatory:</w:t>
      </w:r>
    </w:p>
    <w:p w14:paraId="6B1AE8F4" w14:textId="601AC294" w:rsidR="00D81BD6" w:rsidRDefault="00D81BD6" w:rsidP="00C16ECF">
      <w:pPr>
        <w:pStyle w:val="ListParagraph"/>
        <w:numPr>
          <w:ilvl w:val="1"/>
          <w:numId w:val="23"/>
        </w:numPr>
      </w:pPr>
      <w:r>
        <w:t xml:space="preserve">Measures of adequacy, including peak load standards, </w:t>
      </w:r>
    </w:p>
    <w:p w14:paraId="02CD04A3" w14:textId="77777777" w:rsidR="00D81BD6" w:rsidRDefault="00D81BD6" w:rsidP="00C16ECF">
      <w:pPr>
        <w:pStyle w:val="ListParagraph"/>
        <w:numPr>
          <w:ilvl w:val="1"/>
          <w:numId w:val="23"/>
        </w:numPr>
      </w:pPr>
      <w:r>
        <w:t xml:space="preserve">Methods of measurement, and </w:t>
      </w:r>
    </w:p>
    <w:p w14:paraId="149B7D8D" w14:textId="2FB55E25" w:rsidR="00352E48" w:rsidRDefault="00D81BD6" w:rsidP="00C16ECF">
      <w:pPr>
        <w:pStyle w:val="ListParagraph"/>
        <w:numPr>
          <w:ilvl w:val="1"/>
          <w:numId w:val="23"/>
        </w:numPr>
      </w:pPr>
      <w:r>
        <w:t>Measures of resource contribution to resource adequacy applicable to all resources available to the utility, including but not limited to renewable, storage and demand response resources.</w:t>
      </w:r>
    </w:p>
    <w:p w14:paraId="21EFBC1A" w14:textId="544905F0" w:rsidR="00294DC7" w:rsidRDefault="00A82479" w:rsidP="00C16ECF">
      <w:pPr>
        <w:pStyle w:val="ListParagraph"/>
        <w:numPr>
          <w:ilvl w:val="0"/>
          <w:numId w:val="23"/>
        </w:numPr>
      </w:pPr>
      <w:r>
        <w:t xml:space="preserve">A utility that establishes a resource adequacy standard that is inconsistent with the </w:t>
      </w:r>
      <w:r w:rsidR="00DA1734">
        <w:t xml:space="preserve">resource adequacy standard of the </w:t>
      </w:r>
      <w:r>
        <w:t>Nor</w:t>
      </w:r>
      <w:r w:rsidR="00383827">
        <w:t>thwest Power Planning Council and</w:t>
      </w:r>
      <w:r>
        <w:t xml:space="preserve"> the resource adequacy program of the NW Power Pool must demonstrate that its standard</w:t>
      </w:r>
      <w:r w:rsidR="00D81BD6">
        <w:t xml:space="preserve"> meets the requirements of subsection (1) and</w:t>
      </w:r>
      <w:r>
        <w:t xml:space="preserve"> does not burden customers of other utilities with a risk of inadequate resources.</w:t>
      </w:r>
    </w:p>
    <w:p w14:paraId="1075B776" w14:textId="1203264A" w:rsidR="009F3D6D" w:rsidRDefault="009F3D6D" w:rsidP="009F3D6D"/>
    <w:p w14:paraId="1DE09344" w14:textId="732C2007" w:rsidR="009F3D6D" w:rsidRDefault="009F3D6D" w:rsidP="009F3D6D"/>
    <w:p w14:paraId="7ED5B1C3" w14:textId="7BBA1E6F" w:rsidR="009F3D6D" w:rsidRDefault="009F3D6D" w:rsidP="009F3D6D"/>
    <w:p w14:paraId="2E2E8EE6" w14:textId="0AFCC83C" w:rsidR="009F3D6D" w:rsidRDefault="009F3D6D" w:rsidP="009F3D6D"/>
    <w:p w14:paraId="1E9A6F4E" w14:textId="3FE1B832" w:rsidR="009F3D6D" w:rsidRDefault="009F3D6D" w:rsidP="009F3D6D"/>
    <w:p w14:paraId="51642EE1" w14:textId="60BE9FEF" w:rsidR="009F3D6D" w:rsidRDefault="009F3D6D" w:rsidP="009F3D6D"/>
    <w:p w14:paraId="0C0A7BAE" w14:textId="20042718" w:rsidR="009F3D6D" w:rsidRDefault="009F3D6D" w:rsidP="009F3D6D"/>
    <w:p w14:paraId="5A5C85CE" w14:textId="3FBD4D0B" w:rsidR="009F3D6D" w:rsidRDefault="009F3D6D" w:rsidP="009F3D6D"/>
    <w:p w14:paraId="5C418366" w14:textId="0CB76E00" w:rsidR="009F3D6D" w:rsidRDefault="009F3D6D" w:rsidP="009F3D6D"/>
    <w:p w14:paraId="7403B709" w14:textId="4AD07D94" w:rsidR="009F3D6D" w:rsidRDefault="009F3D6D" w:rsidP="009F3D6D"/>
    <w:p w14:paraId="3B6E86C9" w14:textId="6AEAE7B3" w:rsidR="009F3D6D" w:rsidRDefault="009F3D6D" w:rsidP="009F3D6D"/>
    <w:p w14:paraId="50C7BF94" w14:textId="5755B3E7" w:rsidR="009F3D6D" w:rsidRDefault="009F3D6D" w:rsidP="009F3D6D"/>
    <w:p w14:paraId="0DE3880D" w14:textId="77777777" w:rsidR="00DD366F" w:rsidRDefault="00DD366F" w:rsidP="009F3D6D"/>
    <w:p w14:paraId="0B8A3DAD" w14:textId="60AF326C" w:rsidR="009F3D6D" w:rsidRDefault="009F3D6D" w:rsidP="009F3D6D"/>
    <w:p w14:paraId="2652E20E" w14:textId="7D69D250" w:rsidR="009F3D6D" w:rsidRPr="00294DC7" w:rsidRDefault="009F3D6D" w:rsidP="009F3D6D"/>
    <w:p w14:paraId="5BA02DDB" w14:textId="452C0667" w:rsidR="00294DC7" w:rsidRPr="00765286" w:rsidRDefault="002F725D" w:rsidP="00125429">
      <w:r>
        <w:rPr>
          <w:b/>
        </w:rPr>
        <w:lastRenderedPageBreak/>
        <w:t xml:space="preserve">WAC </w:t>
      </w:r>
      <w:r w:rsidR="00352E48">
        <w:rPr>
          <w:b/>
        </w:rPr>
        <w:t xml:space="preserve">194-40-220 </w:t>
      </w:r>
      <w:r w:rsidR="00130174" w:rsidRPr="000A5079">
        <w:rPr>
          <w:b/>
        </w:rPr>
        <w:t xml:space="preserve">– </w:t>
      </w:r>
      <w:r w:rsidR="00352E48">
        <w:rPr>
          <w:b/>
        </w:rPr>
        <w:t>Public input for planning</w:t>
      </w:r>
      <w:r w:rsidR="00765286">
        <w:rPr>
          <w:b/>
        </w:rPr>
        <w:t xml:space="preserve"> </w:t>
      </w:r>
      <w:r w:rsidR="00765286">
        <w:t>[19.405.060]</w:t>
      </w:r>
    </w:p>
    <w:p w14:paraId="3EED009B" w14:textId="6C261273" w:rsidR="00352E48" w:rsidRDefault="00352E48" w:rsidP="00C16ECF">
      <w:pPr>
        <w:pStyle w:val="ListParagraph"/>
        <w:numPr>
          <w:ilvl w:val="0"/>
          <w:numId w:val="24"/>
        </w:numPr>
      </w:pPr>
      <w:r>
        <w:t xml:space="preserve">Each utility must </w:t>
      </w:r>
      <w:r w:rsidR="00654959">
        <w:t xml:space="preserve">establish and implement a public input process that </w:t>
      </w:r>
      <w:r>
        <w:t>provide</w:t>
      </w:r>
      <w:r w:rsidR="00DA1734">
        <w:t>s</w:t>
      </w:r>
      <w:r>
        <w:t xml:space="preserve"> reasonable opportunity for its customers and interested stakeholders to </w:t>
      </w:r>
      <w:r w:rsidR="00654959">
        <w:t>provide input to the utility prior to the adoption by the utility of a CEIP</w:t>
      </w:r>
      <w:r w:rsidR="00383827">
        <w:t xml:space="preserve">, </w:t>
      </w:r>
      <w:r w:rsidR="00654959">
        <w:t>an integrated resource plan</w:t>
      </w:r>
      <w:r w:rsidR="00383827">
        <w:t>,</w:t>
      </w:r>
      <w:r w:rsidR="00654959">
        <w:t xml:space="preserve"> or </w:t>
      </w:r>
      <w:r w:rsidR="00383827">
        <w:t xml:space="preserve">a </w:t>
      </w:r>
      <w:r w:rsidR="00654959">
        <w:t>resource plan, as applicable</w:t>
      </w:r>
      <w:r w:rsidR="00383827">
        <w:t>.</w:t>
      </w:r>
    </w:p>
    <w:p w14:paraId="3B6CD777" w14:textId="183754EF" w:rsidR="00A352F8" w:rsidRDefault="00654959" w:rsidP="00C16ECF">
      <w:pPr>
        <w:pStyle w:val="ListParagraph"/>
        <w:numPr>
          <w:ilvl w:val="0"/>
          <w:numId w:val="24"/>
        </w:numPr>
      </w:pPr>
      <w:r>
        <w:t xml:space="preserve">In assessing </w:t>
      </w:r>
      <w:r w:rsidR="00DA1734">
        <w:t xml:space="preserve">whether a public input opportunity is </w:t>
      </w:r>
      <w:r>
        <w:t>reasonable, the utility must consider any barriers to public participation due to language, cultural, economic or other factors.</w:t>
      </w:r>
    </w:p>
    <w:p w14:paraId="099D89FA" w14:textId="724A07E7" w:rsidR="009A57A2" w:rsidRDefault="009A57A2" w:rsidP="00125429"/>
    <w:p w14:paraId="1D1E19C3" w14:textId="06F25D93" w:rsidR="00A310AE" w:rsidRDefault="00A310AE" w:rsidP="00125429"/>
    <w:p w14:paraId="1AFC890D" w14:textId="14CD31FC" w:rsidR="00A310AE" w:rsidRDefault="00A310AE" w:rsidP="00125429"/>
    <w:p w14:paraId="1F03479F" w14:textId="198BB99B" w:rsidR="00A310AE" w:rsidRDefault="00A310AE" w:rsidP="00125429"/>
    <w:p w14:paraId="205C1F57" w14:textId="33638923" w:rsidR="00A310AE" w:rsidRDefault="00A310AE" w:rsidP="00125429"/>
    <w:p w14:paraId="0C90C1E9" w14:textId="4BAD5D14" w:rsidR="00A310AE" w:rsidRDefault="00A310AE" w:rsidP="00125429"/>
    <w:p w14:paraId="54D8B25E" w14:textId="10A702E0" w:rsidR="00A310AE" w:rsidRDefault="00A310AE" w:rsidP="00125429"/>
    <w:p w14:paraId="7226170D" w14:textId="4FF91C8D" w:rsidR="00A310AE" w:rsidRDefault="00A310AE" w:rsidP="00125429"/>
    <w:p w14:paraId="22C93C58" w14:textId="70EFDED7" w:rsidR="00A310AE" w:rsidRDefault="00A310AE" w:rsidP="00125429"/>
    <w:p w14:paraId="3D44D04C" w14:textId="6D606A2D" w:rsidR="00A310AE" w:rsidRDefault="00A310AE" w:rsidP="00125429"/>
    <w:p w14:paraId="26D62A99" w14:textId="3868FE7A" w:rsidR="00A310AE" w:rsidRDefault="00A310AE" w:rsidP="00125429"/>
    <w:p w14:paraId="2EF7658A" w14:textId="3FAC7E2C" w:rsidR="00A310AE" w:rsidRDefault="00A310AE" w:rsidP="00125429"/>
    <w:p w14:paraId="577139B2" w14:textId="6AD88EC7" w:rsidR="00A310AE" w:rsidRDefault="00A310AE" w:rsidP="00125429"/>
    <w:p w14:paraId="10EA4D4D" w14:textId="2B391DB8" w:rsidR="00A310AE" w:rsidRDefault="00A310AE" w:rsidP="00125429"/>
    <w:p w14:paraId="4935E3D9" w14:textId="6DD94922" w:rsidR="00A310AE" w:rsidRDefault="00A310AE" w:rsidP="00125429"/>
    <w:p w14:paraId="43D780A2" w14:textId="16577F6B" w:rsidR="00A310AE" w:rsidRDefault="00A310AE" w:rsidP="00125429"/>
    <w:p w14:paraId="35BFE558" w14:textId="6CE71A1C" w:rsidR="00A310AE" w:rsidRDefault="00A310AE" w:rsidP="00125429"/>
    <w:p w14:paraId="78E197A2" w14:textId="77777777" w:rsidR="00DD366F" w:rsidRDefault="00DD366F" w:rsidP="00125429"/>
    <w:p w14:paraId="7CDB8469" w14:textId="1346EDB0" w:rsidR="00A310AE" w:rsidRDefault="00A310AE" w:rsidP="00125429"/>
    <w:p w14:paraId="231941FF" w14:textId="6FB29824" w:rsidR="00A310AE" w:rsidRDefault="00A310AE" w:rsidP="00125429"/>
    <w:p w14:paraId="0FB19E4E" w14:textId="77777777" w:rsidR="00B4661C" w:rsidRPr="00B4661C" w:rsidRDefault="00B4661C" w:rsidP="00B4661C">
      <w:pPr>
        <w:spacing w:before="279" w:after="0" w:line="230" w:lineRule="exact"/>
        <w:textAlignment w:val="baseline"/>
        <w:rPr>
          <w:b/>
          <w:color w:val="000000"/>
          <w:spacing w:val="-3"/>
          <w:sz w:val="23"/>
        </w:rPr>
      </w:pPr>
      <w:r w:rsidRPr="00B4661C">
        <w:rPr>
          <w:b/>
          <w:color w:val="000000"/>
          <w:spacing w:val="-3"/>
          <w:sz w:val="23"/>
        </w:rPr>
        <w:lastRenderedPageBreak/>
        <w:t xml:space="preserve">194-40-110 – Methodologies to incorporate social cost of greenhouse gas emissions </w:t>
      </w:r>
      <w:r w:rsidRPr="00B4661C">
        <w:rPr>
          <w:color w:val="000000"/>
          <w:spacing w:val="-3"/>
        </w:rPr>
        <w:t>[19.280.030(3)]</w:t>
      </w:r>
    </w:p>
    <w:p w14:paraId="2C12C684" w14:textId="77777777" w:rsidR="00B4661C" w:rsidRPr="00B4661C" w:rsidRDefault="00B4661C" w:rsidP="00B4661C">
      <w:pPr>
        <w:spacing w:before="204" w:after="0" w:line="309" w:lineRule="exact"/>
        <w:ind w:left="720" w:right="144" w:hanging="360"/>
        <w:textAlignment w:val="baseline"/>
        <w:rPr>
          <w:color w:val="000000"/>
        </w:rPr>
      </w:pPr>
      <w:r w:rsidRPr="00B4661C">
        <w:rPr>
          <w:color w:val="000000"/>
        </w:rPr>
        <w:t>(1) Each utility must incorporate the social cost of greenhouse gas emissions as a cost adder for all relevant inputs when evaluating and selecting conservation policies, programs, and targets; developing integrated resource plans, resource plans, and clean energy action plans; and evaluating and selecting intermediate term and long-term resource options.</w:t>
      </w:r>
    </w:p>
    <w:p w14:paraId="2126577E" w14:textId="73A7E0C4" w:rsidR="00DD366F" w:rsidRDefault="00B4661C" w:rsidP="00DD366F">
      <w:pPr>
        <w:spacing w:after="0" w:line="308" w:lineRule="exact"/>
        <w:ind w:left="720" w:right="576" w:hanging="360"/>
        <w:textAlignment w:val="baseline"/>
        <w:rPr>
          <w:color w:val="000000"/>
        </w:rPr>
      </w:pPr>
      <w:r w:rsidRPr="00B4661C">
        <w:rPr>
          <w:color w:val="000000"/>
        </w:rPr>
        <w:t>(2) A utility may comply with the requirements of subsection (1) by using one of the following analytical approaches, as appropriate and consistent with the utility’s overall analytical approach for resource evaluation and selection:</w:t>
      </w:r>
    </w:p>
    <w:p w14:paraId="60023F62" w14:textId="6B8362FA" w:rsidR="00DD366F" w:rsidRPr="00DD366F" w:rsidRDefault="00B4661C" w:rsidP="00DD366F">
      <w:pPr>
        <w:pStyle w:val="ListParagraph"/>
        <w:numPr>
          <w:ilvl w:val="0"/>
          <w:numId w:val="27"/>
        </w:numPr>
        <w:tabs>
          <w:tab w:val="left" w:pos="1512"/>
          <w:tab w:val="left" w:pos="1656"/>
        </w:tabs>
        <w:spacing w:after="0" w:line="307" w:lineRule="exact"/>
        <w:ind w:left="1080" w:right="144"/>
        <w:jc w:val="both"/>
        <w:textAlignment w:val="baseline"/>
        <w:rPr>
          <w:color w:val="000000"/>
        </w:rPr>
      </w:pPr>
      <w:r w:rsidRPr="00DD366F">
        <w:rPr>
          <w:color w:val="000000"/>
        </w:rPr>
        <w:t>Performing a resource analysis in which it increase</w:t>
      </w:r>
      <w:r w:rsidR="00DD366F" w:rsidRPr="00DD366F">
        <w:rPr>
          <w:color w:val="000000"/>
        </w:rPr>
        <w:t xml:space="preserve">s the input cost of each fossil </w:t>
      </w:r>
      <w:r w:rsidRPr="00DD366F">
        <w:rPr>
          <w:color w:val="000000"/>
        </w:rPr>
        <w:t>fuel by an amount equal to the social cost of greenhouse gas emissions value of that fuel;</w:t>
      </w:r>
    </w:p>
    <w:p w14:paraId="2ED89381" w14:textId="77777777" w:rsidR="00DD366F" w:rsidRPr="00DD366F" w:rsidRDefault="00B4661C" w:rsidP="00DD366F">
      <w:pPr>
        <w:pStyle w:val="ListParagraph"/>
        <w:numPr>
          <w:ilvl w:val="0"/>
          <w:numId w:val="27"/>
        </w:numPr>
        <w:tabs>
          <w:tab w:val="left" w:pos="1512"/>
          <w:tab w:val="left" w:pos="1656"/>
        </w:tabs>
        <w:spacing w:before="3" w:after="0" w:line="309" w:lineRule="exact"/>
        <w:ind w:left="1080" w:right="288"/>
        <w:textAlignment w:val="baseline"/>
        <w:rPr>
          <w:color w:val="000000"/>
        </w:rPr>
      </w:pPr>
      <w:r w:rsidRPr="00DD366F">
        <w:rPr>
          <w:color w:val="000000"/>
        </w:rPr>
        <w:t>Conducting a resource analysis in which alternative resource portfolios are compar</w:t>
      </w:r>
      <w:r w:rsidR="00DD366F" w:rsidRPr="00DD366F">
        <w:rPr>
          <w:color w:val="000000"/>
        </w:rPr>
        <w:t xml:space="preserve">ed across multiple </w:t>
      </w:r>
      <w:r w:rsidRPr="00DD366F">
        <w:rPr>
          <w:color w:val="000000"/>
        </w:rPr>
        <w:t>scenarios on the basis of cost, risk, and other relevant factors a</w:t>
      </w:r>
      <w:r w:rsidR="00DD366F" w:rsidRPr="00DD366F">
        <w:rPr>
          <w:color w:val="000000"/>
        </w:rPr>
        <w:t xml:space="preserve">nd the aggregate social cost of </w:t>
      </w:r>
      <w:r w:rsidRPr="00DD366F">
        <w:rPr>
          <w:color w:val="000000"/>
        </w:rPr>
        <w:t>greenhouse gas emissions is included in the cost of each resource portfolio;</w:t>
      </w:r>
    </w:p>
    <w:p w14:paraId="2635F7E1" w14:textId="77777777" w:rsidR="00DD366F" w:rsidRPr="00DD366F" w:rsidRDefault="00B4661C" w:rsidP="00DD366F">
      <w:pPr>
        <w:pStyle w:val="ListParagraph"/>
        <w:numPr>
          <w:ilvl w:val="0"/>
          <w:numId w:val="27"/>
        </w:numPr>
        <w:tabs>
          <w:tab w:val="left" w:pos="1512"/>
          <w:tab w:val="left" w:pos="1656"/>
        </w:tabs>
        <w:spacing w:before="3" w:after="0" w:line="309" w:lineRule="exact"/>
        <w:ind w:left="1080" w:right="288"/>
        <w:textAlignment w:val="baseline"/>
        <w:rPr>
          <w:color w:val="000000"/>
        </w:rPr>
      </w:pPr>
      <w:r w:rsidRPr="00DD366F">
        <w:rPr>
          <w:color w:val="000000"/>
          <w:spacing w:val="-2"/>
        </w:rPr>
        <w:t>Adding the social cost of greenhouse gas emissions to the expected market price of electricity, using an estimate of the emissions rate of marginal generating resources; or</w:t>
      </w:r>
    </w:p>
    <w:p w14:paraId="00C20AB0" w14:textId="09373697" w:rsidR="00B4661C" w:rsidRPr="00DD366F" w:rsidRDefault="00B4661C" w:rsidP="00DD366F">
      <w:pPr>
        <w:pStyle w:val="ListParagraph"/>
        <w:numPr>
          <w:ilvl w:val="0"/>
          <w:numId w:val="27"/>
        </w:numPr>
        <w:tabs>
          <w:tab w:val="left" w:pos="1512"/>
          <w:tab w:val="left" w:pos="1656"/>
        </w:tabs>
        <w:spacing w:before="3" w:after="0" w:line="309" w:lineRule="exact"/>
        <w:ind w:left="1080" w:right="288"/>
        <w:textAlignment w:val="baseline"/>
        <w:rPr>
          <w:color w:val="000000"/>
        </w:rPr>
      </w:pPr>
      <w:r w:rsidRPr="00DD366F">
        <w:rPr>
          <w:color w:val="000000"/>
        </w:rPr>
        <w:t>Using another analytical approach that includes a comprehensive accounting of the difference in greenhouse gas emissions and social cost of greenhouse gas emissions between resource alternatives.</w:t>
      </w:r>
    </w:p>
    <w:p w14:paraId="2F20B6C3" w14:textId="77777777" w:rsidR="00B4661C" w:rsidRPr="00B4661C" w:rsidRDefault="00B4661C" w:rsidP="00B4661C">
      <w:pPr>
        <w:spacing w:before="1" w:after="0" w:line="309" w:lineRule="exact"/>
        <w:ind w:left="720" w:right="144" w:hanging="360"/>
        <w:textAlignment w:val="baseline"/>
        <w:rPr>
          <w:color w:val="000000"/>
        </w:rPr>
      </w:pPr>
      <w:r w:rsidRPr="00B4661C">
        <w:rPr>
          <w:color w:val="000000"/>
        </w:rPr>
        <w:t>(3) Any methodology used to comply with this rule may assume that the social cost of greenhouse gas emissions cost adder does not affect short-term operations or dispatch decisions after energy resources are acquired and placed into service.</w:t>
      </w:r>
    </w:p>
    <w:p w14:paraId="151032DB" w14:textId="77777777" w:rsidR="00B4661C" w:rsidRPr="00B4661C" w:rsidRDefault="00B4661C" w:rsidP="00B4661C">
      <w:pPr>
        <w:spacing w:before="1" w:after="0" w:line="309" w:lineRule="exact"/>
        <w:ind w:left="720" w:hanging="360"/>
        <w:textAlignment w:val="baseline"/>
        <w:rPr>
          <w:color w:val="000000"/>
        </w:rPr>
      </w:pPr>
      <w:r w:rsidRPr="00B4661C">
        <w:rPr>
          <w:color w:val="000000"/>
        </w:rPr>
        <w:t>(4) Any methodology used to comply with this rule must ensure that the social cost of greenhouse gas emissions cost adder is accounted for without unreasonable duplication or double counting. Examples of potential duplication include: (a) Applying the social cost of greenhouse gas emissions cost adder to fuel inputs and to electricity market prices that are derived from fuel costs, (b) Applying the social cost of greenhouse gas emissions cost adder to fuel inputs and resource portfolio outputs, and (c) Applying the social cost of greenhouse gas emissions cost adder and a carbon tax or fee.</w:t>
      </w:r>
    </w:p>
    <w:p w14:paraId="297BBCA3" w14:textId="77777777" w:rsidR="00B4661C" w:rsidRPr="00B4661C" w:rsidRDefault="00B4661C" w:rsidP="00B4661C">
      <w:pPr>
        <w:spacing w:after="0" w:line="307" w:lineRule="exact"/>
        <w:ind w:left="720" w:right="216" w:hanging="360"/>
        <w:textAlignment w:val="baseline"/>
        <w:rPr>
          <w:color w:val="000000"/>
        </w:rPr>
      </w:pPr>
      <w:r w:rsidRPr="00B4661C">
        <w:rPr>
          <w:color w:val="000000"/>
        </w:rPr>
        <w:t>(5) The social cost of greenhouse gas emissions values used to meet the requirements of this rule are specified in WAC 194-40-100.</w:t>
      </w:r>
    </w:p>
    <w:p w14:paraId="5981860A" w14:textId="55CEB74C" w:rsidR="00A310AE" w:rsidRDefault="00A310AE" w:rsidP="00125429"/>
    <w:p w14:paraId="60B7ED6F" w14:textId="55CEB74C" w:rsidR="00A310AE" w:rsidRDefault="00A310AE" w:rsidP="00125429"/>
    <w:sectPr w:rsidR="00A310AE" w:rsidSect="005430B8">
      <w:footerReference w:type="default" r:id="rId8"/>
      <w:footerReference w:type="first" r:id="rId9"/>
      <w:pgSz w:w="12240" w:h="15840" w:code="1"/>
      <w:pgMar w:top="1440" w:right="1440" w:bottom="1440" w:left="1440" w:header="720" w:footer="720" w:gutter="0"/>
      <w:paperSrc w:first="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4270" w14:textId="77777777" w:rsidR="00A62FEA" w:rsidRDefault="00A62FEA" w:rsidP="004D7E0C">
      <w:pPr>
        <w:spacing w:after="0" w:line="240" w:lineRule="auto"/>
      </w:pPr>
      <w:r>
        <w:separator/>
      </w:r>
    </w:p>
  </w:endnote>
  <w:endnote w:type="continuationSeparator" w:id="0">
    <w:p w14:paraId="6CE5A720" w14:textId="77777777" w:rsidR="00A62FEA" w:rsidRDefault="00A62FEA" w:rsidP="004D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640582"/>
      <w:docPartObj>
        <w:docPartGallery w:val="Page Numbers (Bottom of Page)"/>
        <w:docPartUnique/>
      </w:docPartObj>
    </w:sdtPr>
    <w:sdtEndPr>
      <w:rPr>
        <w:noProof/>
      </w:rPr>
    </w:sdtEndPr>
    <w:sdtContent>
      <w:p w14:paraId="75707399" w14:textId="042D12A1" w:rsidR="00BD1F8D" w:rsidRDefault="00BD1F8D">
        <w:pPr>
          <w:pStyle w:val="Footer"/>
          <w:jc w:val="right"/>
        </w:pPr>
        <w:r>
          <w:fldChar w:fldCharType="begin"/>
        </w:r>
        <w:r>
          <w:instrText xml:space="preserve"> PAGE   \* MERGEFORMAT </w:instrText>
        </w:r>
        <w:r>
          <w:fldChar w:fldCharType="separate"/>
        </w:r>
        <w:r w:rsidR="00086966">
          <w:rPr>
            <w:noProof/>
          </w:rPr>
          <w:t>4</w:t>
        </w:r>
        <w:r>
          <w:rPr>
            <w:noProof/>
          </w:rPr>
          <w:fldChar w:fldCharType="end"/>
        </w:r>
      </w:p>
    </w:sdtContent>
  </w:sdt>
  <w:p w14:paraId="1FFB4E80" w14:textId="74C87F70" w:rsidR="00E37B42" w:rsidRDefault="00E3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836448"/>
      <w:docPartObj>
        <w:docPartGallery w:val="Page Numbers (Bottom of Page)"/>
        <w:docPartUnique/>
      </w:docPartObj>
    </w:sdtPr>
    <w:sdtEndPr>
      <w:rPr>
        <w:noProof/>
      </w:rPr>
    </w:sdtEndPr>
    <w:sdtContent>
      <w:p w14:paraId="4200B03A" w14:textId="15A528C9" w:rsidR="00E37B42" w:rsidRDefault="00E37B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8665EA" w14:textId="77777777" w:rsidR="00E37B42" w:rsidRDefault="00E3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0542" w14:textId="77777777" w:rsidR="00A62FEA" w:rsidRDefault="00A62FEA" w:rsidP="004D7E0C">
      <w:pPr>
        <w:spacing w:after="0" w:line="240" w:lineRule="auto"/>
      </w:pPr>
      <w:r>
        <w:separator/>
      </w:r>
    </w:p>
  </w:footnote>
  <w:footnote w:type="continuationSeparator" w:id="0">
    <w:p w14:paraId="0C8C438B" w14:textId="77777777" w:rsidR="00A62FEA" w:rsidRDefault="00A62FEA" w:rsidP="004D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67"/>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2A14"/>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6195"/>
    <w:multiLevelType w:val="multilevel"/>
    <w:tmpl w:val="71FADE2E"/>
    <w:lvl w:ilvl="0">
      <w:start w:val="1"/>
      <w:numFmt w:val="decimal"/>
      <w:lvlText w:val="(%1)"/>
      <w:lvlJc w:val="left"/>
      <w:pPr>
        <w:ind w:left="0" w:firstLine="360"/>
      </w:pPr>
      <w:rPr>
        <w:rFonts w:hint="default"/>
      </w:rPr>
    </w:lvl>
    <w:lvl w:ilvl="1">
      <w:start w:val="1"/>
      <w:numFmt w:val="lowerLetter"/>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upperLetter"/>
      <w:lvlText w:val="(%4)"/>
      <w:lvlJc w:val="left"/>
      <w:pPr>
        <w:ind w:left="0" w:firstLine="360"/>
      </w:pPr>
      <w:rPr>
        <w:rFonts w:hint="default"/>
      </w:rPr>
    </w:lvl>
    <w:lvl w:ilvl="4">
      <w:start w:val="1"/>
      <w:numFmt w:val="none"/>
      <w:lvlText w:val=""/>
      <w:lvlJc w:val="left"/>
      <w:pPr>
        <w:ind w:left="0" w:firstLine="360"/>
      </w:pPr>
      <w:rPr>
        <w:rFonts w:hint="default"/>
      </w:rPr>
    </w:lvl>
    <w:lvl w:ilvl="5">
      <w:start w:val="1"/>
      <w:numFmt w:val="none"/>
      <w:lvlText w:val=""/>
      <w:lvlJc w:val="right"/>
      <w:pPr>
        <w:ind w:left="0" w:firstLine="360"/>
      </w:pPr>
      <w:rPr>
        <w:rFonts w:hint="default"/>
      </w:rPr>
    </w:lvl>
    <w:lvl w:ilvl="6">
      <w:start w:val="1"/>
      <w:numFmt w:val="none"/>
      <w:lvlText w:val=""/>
      <w:lvlJc w:val="left"/>
      <w:pPr>
        <w:ind w:left="0" w:firstLine="360"/>
      </w:pPr>
      <w:rPr>
        <w:rFonts w:hint="default"/>
      </w:rPr>
    </w:lvl>
    <w:lvl w:ilvl="7">
      <w:start w:val="1"/>
      <w:numFmt w:val="none"/>
      <w:lvlText w:val=""/>
      <w:lvlJc w:val="left"/>
      <w:pPr>
        <w:ind w:left="0" w:firstLine="360"/>
      </w:pPr>
      <w:rPr>
        <w:rFonts w:hint="default"/>
      </w:rPr>
    </w:lvl>
    <w:lvl w:ilvl="8">
      <w:start w:val="1"/>
      <w:numFmt w:val="none"/>
      <w:lvlText w:val=""/>
      <w:lvlJc w:val="right"/>
      <w:pPr>
        <w:ind w:left="0" w:firstLine="360"/>
      </w:pPr>
      <w:rPr>
        <w:rFonts w:hint="default"/>
      </w:rPr>
    </w:lvl>
  </w:abstractNum>
  <w:abstractNum w:abstractNumId="3" w15:restartNumberingAfterBreak="0">
    <w:nsid w:val="206758A7"/>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3D2"/>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57E8"/>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85F7F"/>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77ABA"/>
    <w:multiLevelType w:val="multilevel"/>
    <w:tmpl w:val="1EC4B51A"/>
    <w:lvl w:ilvl="0">
      <w:start w:val="194"/>
      <w:numFmt w:val="decimal"/>
      <w:lvlText w:val="%1"/>
      <w:lvlJc w:val="left"/>
      <w:pPr>
        <w:ind w:left="1020" w:hanging="1020"/>
      </w:pPr>
      <w:rPr>
        <w:rFonts w:hint="default"/>
        <w:b/>
      </w:rPr>
    </w:lvl>
    <w:lvl w:ilvl="1">
      <w:start w:val="40"/>
      <w:numFmt w:val="decimal"/>
      <w:lvlText w:val="%1-%2"/>
      <w:lvlJc w:val="left"/>
      <w:pPr>
        <w:ind w:left="1020" w:hanging="1020"/>
      </w:pPr>
      <w:rPr>
        <w:rFonts w:hint="default"/>
        <w:b/>
      </w:rPr>
    </w:lvl>
    <w:lvl w:ilvl="2">
      <w:start w:val="200"/>
      <w:numFmt w:val="decimal"/>
      <w:lvlText w:val="%1-%2-%3"/>
      <w:lvlJc w:val="left"/>
      <w:pPr>
        <w:ind w:left="1020" w:hanging="1020"/>
      </w:pPr>
      <w:rPr>
        <w:rFonts w:hint="default"/>
        <w:b/>
      </w:rPr>
    </w:lvl>
    <w:lvl w:ilvl="3">
      <w:start w:val="1"/>
      <w:numFmt w:val="decimal"/>
      <w:lvlText w:val="%1-%2-%3.%4"/>
      <w:lvlJc w:val="left"/>
      <w:pPr>
        <w:ind w:left="1020" w:hanging="10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28D659B"/>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D28AE"/>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3229A"/>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C5C70"/>
    <w:multiLevelType w:val="hybridMultilevel"/>
    <w:tmpl w:val="1DE2C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D0FA9"/>
    <w:multiLevelType w:val="multilevel"/>
    <w:tmpl w:val="051C5662"/>
    <w:lvl w:ilvl="0">
      <w:start w:val="1"/>
      <w:numFmt w:val="lowerLetter"/>
      <w:lvlText w:val="(%1)"/>
      <w:lvlJc w:val="left"/>
      <w:pPr>
        <w:tabs>
          <w:tab w:val="left" w:pos="360"/>
        </w:tabs>
      </w:pPr>
      <w:rPr>
        <w:rFonts w:ascii="Calibri" w:eastAsia="Calibri" w:hAnsi="Calibr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097B34"/>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22B28"/>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20019"/>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10C71"/>
    <w:multiLevelType w:val="multilevel"/>
    <w:tmpl w:val="E11C8F3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4068BB"/>
    <w:multiLevelType w:val="multilevel"/>
    <w:tmpl w:val="71FADE2E"/>
    <w:lvl w:ilvl="0">
      <w:start w:val="1"/>
      <w:numFmt w:val="decimal"/>
      <w:lvlText w:val="(%1)"/>
      <w:lvlJc w:val="left"/>
      <w:pPr>
        <w:ind w:left="0" w:firstLine="360"/>
      </w:pPr>
      <w:rPr>
        <w:rFonts w:hint="default"/>
      </w:rPr>
    </w:lvl>
    <w:lvl w:ilvl="1">
      <w:start w:val="1"/>
      <w:numFmt w:val="lowerLetter"/>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upperLetter"/>
      <w:lvlText w:val="(%4)"/>
      <w:lvlJc w:val="left"/>
      <w:pPr>
        <w:ind w:left="0" w:firstLine="360"/>
      </w:pPr>
      <w:rPr>
        <w:rFonts w:hint="default"/>
      </w:rPr>
    </w:lvl>
    <w:lvl w:ilvl="4">
      <w:start w:val="1"/>
      <w:numFmt w:val="none"/>
      <w:lvlText w:val=""/>
      <w:lvlJc w:val="left"/>
      <w:pPr>
        <w:ind w:left="0" w:firstLine="360"/>
      </w:pPr>
      <w:rPr>
        <w:rFonts w:hint="default"/>
      </w:rPr>
    </w:lvl>
    <w:lvl w:ilvl="5">
      <w:start w:val="1"/>
      <w:numFmt w:val="none"/>
      <w:lvlText w:val=""/>
      <w:lvlJc w:val="right"/>
      <w:pPr>
        <w:ind w:left="0" w:firstLine="360"/>
      </w:pPr>
      <w:rPr>
        <w:rFonts w:hint="default"/>
      </w:rPr>
    </w:lvl>
    <w:lvl w:ilvl="6">
      <w:start w:val="1"/>
      <w:numFmt w:val="none"/>
      <w:lvlText w:val=""/>
      <w:lvlJc w:val="left"/>
      <w:pPr>
        <w:ind w:left="0" w:firstLine="360"/>
      </w:pPr>
      <w:rPr>
        <w:rFonts w:hint="default"/>
      </w:rPr>
    </w:lvl>
    <w:lvl w:ilvl="7">
      <w:start w:val="1"/>
      <w:numFmt w:val="none"/>
      <w:lvlText w:val=""/>
      <w:lvlJc w:val="left"/>
      <w:pPr>
        <w:ind w:left="0" w:firstLine="360"/>
      </w:pPr>
      <w:rPr>
        <w:rFonts w:hint="default"/>
      </w:rPr>
    </w:lvl>
    <w:lvl w:ilvl="8">
      <w:start w:val="1"/>
      <w:numFmt w:val="none"/>
      <w:lvlText w:val=""/>
      <w:lvlJc w:val="right"/>
      <w:pPr>
        <w:ind w:left="0" w:firstLine="360"/>
      </w:pPr>
      <w:rPr>
        <w:rFonts w:hint="default"/>
      </w:rPr>
    </w:lvl>
  </w:abstractNum>
  <w:abstractNum w:abstractNumId="18" w15:restartNumberingAfterBreak="0">
    <w:nsid w:val="616071C6"/>
    <w:multiLevelType w:val="multilevel"/>
    <w:tmpl w:val="71FADE2E"/>
    <w:lvl w:ilvl="0">
      <w:start w:val="1"/>
      <w:numFmt w:val="decimal"/>
      <w:lvlText w:val="(%1)"/>
      <w:lvlJc w:val="left"/>
      <w:pPr>
        <w:ind w:left="0" w:firstLine="360"/>
      </w:pPr>
      <w:rPr>
        <w:rFonts w:hint="default"/>
      </w:rPr>
    </w:lvl>
    <w:lvl w:ilvl="1">
      <w:start w:val="1"/>
      <w:numFmt w:val="lowerLetter"/>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upperLetter"/>
      <w:lvlText w:val="(%4)"/>
      <w:lvlJc w:val="left"/>
      <w:pPr>
        <w:ind w:left="0" w:firstLine="360"/>
      </w:pPr>
      <w:rPr>
        <w:rFonts w:hint="default"/>
      </w:rPr>
    </w:lvl>
    <w:lvl w:ilvl="4">
      <w:start w:val="1"/>
      <w:numFmt w:val="none"/>
      <w:lvlText w:val=""/>
      <w:lvlJc w:val="left"/>
      <w:pPr>
        <w:ind w:left="0" w:firstLine="360"/>
      </w:pPr>
      <w:rPr>
        <w:rFonts w:hint="default"/>
      </w:rPr>
    </w:lvl>
    <w:lvl w:ilvl="5">
      <w:start w:val="1"/>
      <w:numFmt w:val="none"/>
      <w:lvlText w:val=""/>
      <w:lvlJc w:val="right"/>
      <w:pPr>
        <w:ind w:left="0" w:firstLine="360"/>
      </w:pPr>
      <w:rPr>
        <w:rFonts w:hint="default"/>
      </w:rPr>
    </w:lvl>
    <w:lvl w:ilvl="6">
      <w:start w:val="1"/>
      <w:numFmt w:val="none"/>
      <w:lvlText w:val=""/>
      <w:lvlJc w:val="left"/>
      <w:pPr>
        <w:ind w:left="0" w:firstLine="360"/>
      </w:pPr>
      <w:rPr>
        <w:rFonts w:hint="default"/>
      </w:rPr>
    </w:lvl>
    <w:lvl w:ilvl="7">
      <w:start w:val="1"/>
      <w:numFmt w:val="none"/>
      <w:lvlText w:val=""/>
      <w:lvlJc w:val="left"/>
      <w:pPr>
        <w:ind w:left="0" w:firstLine="360"/>
      </w:pPr>
      <w:rPr>
        <w:rFonts w:hint="default"/>
      </w:rPr>
    </w:lvl>
    <w:lvl w:ilvl="8">
      <w:start w:val="1"/>
      <w:numFmt w:val="none"/>
      <w:lvlText w:val=""/>
      <w:lvlJc w:val="right"/>
      <w:pPr>
        <w:ind w:left="0" w:firstLine="360"/>
      </w:pPr>
      <w:rPr>
        <w:rFonts w:hint="default"/>
      </w:rPr>
    </w:lvl>
  </w:abstractNum>
  <w:abstractNum w:abstractNumId="19" w15:restartNumberingAfterBreak="0">
    <w:nsid w:val="63A44F15"/>
    <w:multiLevelType w:val="multilevel"/>
    <w:tmpl w:val="3724B73A"/>
    <w:lvl w:ilvl="0">
      <w:start w:val="1"/>
      <w:numFmt w:val="lowerLetter"/>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096350"/>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F0DA1"/>
    <w:multiLevelType w:val="hybridMultilevel"/>
    <w:tmpl w:val="C590AC5A"/>
    <w:lvl w:ilvl="0" w:tplc="3948D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76BED"/>
    <w:multiLevelType w:val="hybridMultilevel"/>
    <w:tmpl w:val="90B0183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95641"/>
    <w:multiLevelType w:val="hybridMultilevel"/>
    <w:tmpl w:val="1B18B970"/>
    <w:lvl w:ilvl="0" w:tplc="3948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32191"/>
    <w:multiLevelType w:val="multilevel"/>
    <w:tmpl w:val="F014C3C6"/>
    <w:lvl w:ilvl="0">
      <w:start w:val="1"/>
      <w:numFmt w:val="lowerLetter"/>
      <w:lvlText w:val="%1."/>
      <w:lvlJc w:val="left"/>
      <w:pPr>
        <w:tabs>
          <w:tab w:val="left" w:pos="165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5C3B3F"/>
    <w:multiLevelType w:val="multilevel"/>
    <w:tmpl w:val="71FADE2E"/>
    <w:lvl w:ilvl="0">
      <w:start w:val="1"/>
      <w:numFmt w:val="decimal"/>
      <w:lvlText w:val="(%1)"/>
      <w:lvlJc w:val="left"/>
      <w:pPr>
        <w:ind w:left="0" w:firstLine="360"/>
      </w:pPr>
      <w:rPr>
        <w:rFonts w:hint="default"/>
      </w:rPr>
    </w:lvl>
    <w:lvl w:ilvl="1">
      <w:start w:val="1"/>
      <w:numFmt w:val="lowerLetter"/>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upperLetter"/>
      <w:lvlText w:val="(%4)"/>
      <w:lvlJc w:val="left"/>
      <w:pPr>
        <w:ind w:left="0" w:firstLine="360"/>
      </w:pPr>
      <w:rPr>
        <w:rFonts w:hint="default"/>
      </w:rPr>
    </w:lvl>
    <w:lvl w:ilvl="4">
      <w:start w:val="1"/>
      <w:numFmt w:val="none"/>
      <w:lvlText w:val=""/>
      <w:lvlJc w:val="left"/>
      <w:pPr>
        <w:ind w:left="0" w:firstLine="360"/>
      </w:pPr>
      <w:rPr>
        <w:rFonts w:hint="default"/>
      </w:rPr>
    </w:lvl>
    <w:lvl w:ilvl="5">
      <w:start w:val="1"/>
      <w:numFmt w:val="none"/>
      <w:lvlText w:val=""/>
      <w:lvlJc w:val="right"/>
      <w:pPr>
        <w:ind w:left="0" w:firstLine="360"/>
      </w:pPr>
      <w:rPr>
        <w:rFonts w:hint="default"/>
      </w:rPr>
    </w:lvl>
    <w:lvl w:ilvl="6">
      <w:start w:val="1"/>
      <w:numFmt w:val="none"/>
      <w:lvlText w:val=""/>
      <w:lvlJc w:val="left"/>
      <w:pPr>
        <w:ind w:left="0" w:firstLine="360"/>
      </w:pPr>
      <w:rPr>
        <w:rFonts w:hint="default"/>
      </w:rPr>
    </w:lvl>
    <w:lvl w:ilvl="7">
      <w:start w:val="1"/>
      <w:numFmt w:val="none"/>
      <w:lvlText w:val=""/>
      <w:lvlJc w:val="left"/>
      <w:pPr>
        <w:ind w:left="0" w:firstLine="360"/>
      </w:pPr>
      <w:rPr>
        <w:rFonts w:hint="default"/>
      </w:rPr>
    </w:lvl>
    <w:lvl w:ilvl="8">
      <w:start w:val="1"/>
      <w:numFmt w:val="none"/>
      <w:lvlText w:val=""/>
      <w:lvlJc w:val="right"/>
      <w:pPr>
        <w:ind w:left="0" w:firstLine="360"/>
      </w:pPr>
      <w:rPr>
        <w:rFonts w:hint="default"/>
      </w:rPr>
    </w:lvl>
  </w:abstractNum>
  <w:abstractNum w:abstractNumId="26" w15:restartNumberingAfterBreak="0">
    <w:nsid w:val="7F9D041D"/>
    <w:multiLevelType w:val="hybridMultilevel"/>
    <w:tmpl w:val="961EA44E"/>
    <w:lvl w:ilvl="0" w:tplc="E1B458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0"/>
  </w:num>
  <w:num w:numId="3">
    <w:abstractNumId w:val="2"/>
  </w:num>
  <w:num w:numId="4">
    <w:abstractNumId w:val="18"/>
  </w:num>
  <w:num w:numId="5">
    <w:abstractNumId w:val="13"/>
  </w:num>
  <w:num w:numId="6">
    <w:abstractNumId w:val="9"/>
  </w:num>
  <w:num w:numId="7">
    <w:abstractNumId w:val="14"/>
  </w:num>
  <w:num w:numId="8">
    <w:abstractNumId w:val="0"/>
  </w:num>
  <w:num w:numId="9">
    <w:abstractNumId w:val="22"/>
  </w:num>
  <w:num w:numId="10">
    <w:abstractNumId w:val="8"/>
  </w:num>
  <w:num w:numId="11">
    <w:abstractNumId w:val="21"/>
  </w:num>
  <w:num w:numId="12">
    <w:abstractNumId w:val="26"/>
  </w:num>
  <w:num w:numId="13">
    <w:abstractNumId w:val="6"/>
  </w:num>
  <w:num w:numId="14">
    <w:abstractNumId w:val="5"/>
  </w:num>
  <w:num w:numId="15">
    <w:abstractNumId w:val="12"/>
  </w:num>
  <w:num w:numId="16">
    <w:abstractNumId w:val="16"/>
  </w:num>
  <w:num w:numId="17">
    <w:abstractNumId w:val="19"/>
  </w:num>
  <w:num w:numId="18">
    <w:abstractNumId w:val="17"/>
  </w:num>
  <w:num w:numId="19">
    <w:abstractNumId w:val="25"/>
  </w:num>
  <w:num w:numId="20">
    <w:abstractNumId w:val="23"/>
  </w:num>
  <w:num w:numId="21">
    <w:abstractNumId w:val="4"/>
  </w:num>
  <w:num w:numId="22">
    <w:abstractNumId w:val="7"/>
  </w:num>
  <w:num w:numId="23">
    <w:abstractNumId w:val="15"/>
  </w:num>
  <w:num w:numId="24">
    <w:abstractNumId w:val="1"/>
  </w:num>
  <w:num w:numId="25">
    <w:abstractNumId w:val="3"/>
  </w:num>
  <w:num w:numId="26">
    <w:abstractNumId w:val="24"/>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0C"/>
    <w:rsid w:val="00007B7B"/>
    <w:rsid w:val="00007EFA"/>
    <w:rsid w:val="00017FF4"/>
    <w:rsid w:val="000237F1"/>
    <w:rsid w:val="000345A8"/>
    <w:rsid w:val="00050A83"/>
    <w:rsid w:val="00055322"/>
    <w:rsid w:val="00055EA4"/>
    <w:rsid w:val="00062B5B"/>
    <w:rsid w:val="00086966"/>
    <w:rsid w:val="000A229A"/>
    <w:rsid w:val="000A5079"/>
    <w:rsid w:val="000E2873"/>
    <w:rsid w:val="000F3D0B"/>
    <w:rsid w:val="000F760C"/>
    <w:rsid w:val="00125429"/>
    <w:rsid w:val="00130174"/>
    <w:rsid w:val="001319D3"/>
    <w:rsid w:val="00140F88"/>
    <w:rsid w:val="00157B20"/>
    <w:rsid w:val="00164D30"/>
    <w:rsid w:val="001A463B"/>
    <w:rsid w:val="001B42C7"/>
    <w:rsid w:val="001B6470"/>
    <w:rsid w:val="001C5E1D"/>
    <w:rsid w:val="001E26CF"/>
    <w:rsid w:val="001E792D"/>
    <w:rsid w:val="00202299"/>
    <w:rsid w:val="00207FDA"/>
    <w:rsid w:val="00243DAE"/>
    <w:rsid w:val="0024598F"/>
    <w:rsid w:val="00261269"/>
    <w:rsid w:val="0027789C"/>
    <w:rsid w:val="00294DC7"/>
    <w:rsid w:val="00294E9A"/>
    <w:rsid w:val="002951D2"/>
    <w:rsid w:val="00297FCA"/>
    <w:rsid w:val="002B4F11"/>
    <w:rsid w:val="002B5F03"/>
    <w:rsid w:val="002E2F49"/>
    <w:rsid w:val="002F725D"/>
    <w:rsid w:val="002F7E32"/>
    <w:rsid w:val="00310938"/>
    <w:rsid w:val="00310BD4"/>
    <w:rsid w:val="00333984"/>
    <w:rsid w:val="0034575C"/>
    <w:rsid w:val="00352E48"/>
    <w:rsid w:val="003623A6"/>
    <w:rsid w:val="00383827"/>
    <w:rsid w:val="00391DF4"/>
    <w:rsid w:val="00393021"/>
    <w:rsid w:val="00395BF5"/>
    <w:rsid w:val="003B293B"/>
    <w:rsid w:val="003B4C00"/>
    <w:rsid w:val="003D16A4"/>
    <w:rsid w:val="003D6D90"/>
    <w:rsid w:val="00405004"/>
    <w:rsid w:val="00411B92"/>
    <w:rsid w:val="00412BC9"/>
    <w:rsid w:val="00421991"/>
    <w:rsid w:val="00431F94"/>
    <w:rsid w:val="00436860"/>
    <w:rsid w:val="00441CE3"/>
    <w:rsid w:val="00443228"/>
    <w:rsid w:val="00455FDF"/>
    <w:rsid w:val="004802CD"/>
    <w:rsid w:val="00482D8D"/>
    <w:rsid w:val="004A53D1"/>
    <w:rsid w:val="004C696E"/>
    <w:rsid w:val="004D7E0C"/>
    <w:rsid w:val="004F1887"/>
    <w:rsid w:val="004F29A6"/>
    <w:rsid w:val="00506C85"/>
    <w:rsid w:val="00530A73"/>
    <w:rsid w:val="0054008D"/>
    <w:rsid w:val="005430B8"/>
    <w:rsid w:val="00550C21"/>
    <w:rsid w:val="005611CB"/>
    <w:rsid w:val="005649B9"/>
    <w:rsid w:val="00571D0C"/>
    <w:rsid w:val="005738BA"/>
    <w:rsid w:val="005762BD"/>
    <w:rsid w:val="005A3F40"/>
    <w:rsid w:val="005D1E44"/>
    <w:rsid w:val="005E2FF4"/>
    <w:rsid w:val="005E31D2"/>
    <w:rsid w:val="005F602F"/>
    <w:rsid w:val="00611194"/>
    <w:rsid w:val="0062118F"/>
    <w:rsid w:val="00622E20"/>
    <w:rsid w:val="0064474E"/>
    <w:rsid w:val="00654959"/>
    <w:rsid w:val="00655F9F"/>
    <w:rsid w:val="0069099C"/>
    <w:rsid w:val="006A70FC"/>
    <w:rsid w:val="006B35C3"/>
    <w:rsid w:val="006B651A"/>
    <w:rsid w:val="006D5FE0"/>
    <w:rsid w:val="006E6B33"/>
    <w:rsid w:val="006F303B"/>
    <w:rsid w:val="006F46B0"/>
    <w:rsid w:val="0070538B"/>
    <w:rsid w:val="0073049A"/>
    <w:rsid w:val="00765286"/>
    <w:rsid w:val="00784843"/>
    <w:rsid w:val="00785118"/>
    <w:rsid w:val="00794E41"/>
    <w:rsid w:val="00797E46"/>
    <w:rsid w:val="007A3A8E"/>
    <w:rsid w:val="007C4B28"/>
    <w:rsid w:val="007D5353"/>
    <w:rsid w:val="007D63E1"/>
    <w:rsid w:val="007D6E19"/>
    <w:rsid w:val="007E19A9"/>
    <w:rsid w:val="007F00F1"/>
    <w:rsid w:val="007F093B"/>
    <w:rsid w:val="007F7AC6"/>
    <w:rsid w:val="00802D72"/>
    <w:rsid w:val="0080312F"/>
    <w:rsid w:val="00831D57"/>
    <w:rsid w:val="00841FC5"/>
    <w:rsid w:val="0084469A"/>
    <w:rsid w:val="00861E91"/>
    <w:rsid w:val="00881A16"/>
    <w:rsid w:val="00883D22"/>
    <w:rsid w:val="0089160F"/>
    <w:rsid w:val="008A0E26"/>
    <w:rsid w:val="008B075D"/>
    <w:rsid w:val="008B669C"/>
    <w:rsid w:val="008C6872"/>
    <w:rsid w:val="008D2C27"/>
    <w:rsid w:val="008F4D56"/>
    <w:rsid w:val="008F74FD"/>
    <w:rsid w:val="009115F1"/>
    <w:rsid w:val="00914460"/>
    <w:rsid w:val="0092485F"/>
    <w:rsid w:val="009424B4"/>
    <w:rsid w:val="009432EA"/>
    <w:rsid w:val="00951BD3"/>
    <w:rsid w:val="00955AAD"/>
    <w:rsid w:val="00965D2F"/>
    <w:rsid w:val="0096732E"/>
    <w:rsid w:val="00976857"/>
    <w:rsid w:val="009773AB"/>
    <w:rsid w:val="009847F1"/>
    <w:rsid w:val="009A4265"/>
    <w:rsid w:val="009A57A2"/>
    <w:rsid w:val="009B0A59"/>
    <w:rsid w:val="009D621C"/>
    <w:rsid w:val="009E2E5A"/>
    <w:rsid w:val="009E60E6"/>
    <w:rsid w:val="009F048E"/>
    <w:rsid w:val="009F3D6D"/>
    <w:rsid w:val="009F4649"/>
    <w:rsid w:val="00A0266E"/>
    <w:rsid w:val="00A310AE"/>
    <w:rsid w:val="00A352F8"/>
    <w:rsid w:val="00A415FB"/>
    <w:rsid w:val="00A43ACD"/>
    <w:rsid w:val="00A522E0"/>
    <w:rsid w:val="00A62FEA"/>
    <w:rsid w:val="00A71394"/>
    <w:rsid w:val="00A82479"/>
    <w:rsid w:val="00A8262E"/>
    <w:rsid w:val="00AE066A"/>
    <w:rsid w:val="00AE229F"/>
    <w:rsid w:val="00AE3F79"/>
    <w:rsid w:val="00B408BA"/>
    <w:rsid w:val="00B4661C"/>
    <w:rsid w:val="00BD1F8D"/>
    <w:rsid w:val="00BD7BB1"/>
    <w:rsid w:val="00C06F83"/>
    <w:rsid w:val="00C14E44"/>
    <w:rsid w:val="00C16ECF"/>
    <w:rsid w:val="00C43AB5"/>
    <w:rsid w:val="00C57FAE"/>
    <w:rsid w:val="00C8728B"/>
    <w:rsid w:val="00C94B93"/>
    <w:rsid w:val="00CA1F34"/>
    <w:rsid w:val="00CA48B5"/>
    <w:rsid w:val="00CA4943"/>
    <w:rsid w:val="00CB2488"/>
    <w:rsid w:val="00CC26D3"/>
    <w:rsid w:val="00CD0C9E"/>
    <w:rsid w:val="00CD5B70"/>
    <w:rsid w:val="00CD6B07"/>
    <w:rsid w:val="00CE05FC"/>
    <w:rsid w:val="00CE12D7"/>
    <w:rsid w:val="00CF7B2C"/>
    <w:rsid w:val="00D2589C"/>
    <w:rsid w:val="00D278B5"/>
    <w:rsid w:val="00D31F93"/>
    <w:rsid w:val="00D45952"/>
    <w:rsid w:val="00D46D5D"/>
    <w:rsid w:val="00D75158"/>
    <w:rsid w:val="00D81BD6"/>
    <w:rsid w:val="00D848FA"/>
    <w:rsid w:val="00D85E0D"/>
    <w:rsid w:val="00D91C86"/>
    <w:rsid w:val="00DA13AE"/>
    <w:rsid w:val="00DA1734"/>
    <w:rsid w:val="00DA2527"/>
    <w:rsid w:val="00DA28BA"/>
    <w:rsid w:val="00DB0B3C"/>
    <w:rsid w:val="00DB0FEA"/>
    <w:rsid w:val="00DB2601"/>
    <w:rsid w:val="00DC3019"/>
    <w:rsid w:val="00DD2420"/>
    <w:rsid w:val="00DD366F"/>
    <w:rsid w:val="00DD4A82"/>
    <w:rsid w:val="00E07E4F"/>
    <w:rsid w:val="00E227EF"/>
    <w:rsid w:val="00E37B42"/>
    <w:rsid w:val="00E37CD3"/>
    <w:rsid w:val="00E41ABF"/>
    <w:rsid w:val="00E41D7C"/>
    <w:rsid w:val="00E443E2"/>
    <w:rsid w:val="00E54912"/>
    <w:rsid w:val="00E63EB4"/>
    <w:rsid w:val="00E6748A"/>
    <w:rsid w:val="00E7539C"/>
    <w:rsid w:val="00E77918"/>
    <w:rsid w:val="00E86840"/>
    <w:rsid w:val="00E95062"/>
    <w:rsid w:val="00ED268C"/>
    <w:rsid w:val="00ED6BB2"/>
    <w:rsid w:val="00EE011C"/>
    <w:rsid w:val="00EE129F"/>
    <w:rsid w:val="00F10518"/>
    <w:rsid w:val="00F1516D"/>
    <w:rsid w:val="00F457D8"/>
    <w:rsid w:val="00F92EF4"/>
    <w:rsid w:val="00FA305C"/>
    <w:rsid w:val="00FB42BA"/>
    <w:rsid w:val="00FB4ACC"/>
    <w:rsid w:val="00FB7113"/>
    <w:rsid w:val="00FD57D0"/>
    <w:rsid w:val="00FE1EFE"/>
    <w:rsid w:val="00FE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9BDDC1"/>
  <w15:chartTrackingRefBased/>
  <w15:docId w15:val="{7EDD8D54-A33F-4C60-8963-6DCDF5AF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0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7E0C"/>
    <w:pPr>
      <w:keepNext/>
      <w:jc w:val="center"/>
      <w:outlineLvl w:val="0"/>
    </w:pPr>
    <w:rPr>
      <w:b/>
      <w:bCs/>
      <w:color w:val="008000"/>
      <w:sz w:val="18"/>
      <w:szCs w:val="24"/>
    </w:rPr>
  </w:style>
  <w:style w:type="paragraph" w:styleId="Heading2">
    <w:name w:val="heading 2"/>
    <w:basedOn w:val="Normal"/>
    <w:next w:val="Normal"/>
    <w:link w:val="Heading2Char"/>
    <w:qFormat/>
    <w:rsid w:val="004D7E0C"/>
    <w:pPr>
      <w:keepNext/>
      <w:jc w:val="center"/>
      <w:outlineLvl w:val="1"/>
    </w:pPr>
    <w:rPr>
      <w:rFonts w:ascii="Arial Unicode MS" w:hAnsi="Arial Unicode MS" w:cs="Lucida Sans Unicode"/>
      <w:color w:val="0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E0C"/>
    <w:rPr>
      <w:rFonts w:ascii="Calibri" w:eastAsia="Calibri" w:hAnsi="Calibri" w:cs="Times New Roman"/>
      <w:b/>
      <w:bCs/>
      <w:color w:val="008000"/>
      <w:sz w:val="18"/>
      <w:szCs w:val="24"/>
    </w:rPr>
  </w:style>
  <w:style w:type="character" w:customStyle="1" w:styleId="Heading2Char">
    <w:name w:val="Heading 2 Char"/>
    <w:basedOn w:val="DefaultParagraphFont"/>
    <w:link w:val="Heading2"/>
    <w:rsid w:val="004D7E0C"/>
    <w:rPr>
      <w:rFonts w:ascii="Arial Unicode MS" w:eastAsia="Calibri" w:hAnsi="Arial Unicode MS" w:cs="Lucida Sans Unicode"/>
      <w:color w:val="008000"/>
      <w:sz w:val="28"/>
      <w:szCs w:val="24"/>
    </w:rPr>
  </w:style>
  <w:style w:type="paragraph" w:styleId="Header">
    <w:name w:val="header"/>
    <w:basedOn w:val="Normal"/>
    <w:link w:val="HeaderChar"/>
    <w:uiPriority w:val="99"/>
    <w:unhideWhenUsed/>
    <w:rsid w:val="004D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0C"/>
    <w:rPr>
      <w:rFonts w:ascii="Calibri" w:eastAsia="Calibri" w:hAnsi="Calibri" w:cs="Times New Roman"/>
    </w:rPr>
  </w:style>
  <w:style w:type="paragraph" w:styleId="Footer">
    <w:name w:val="footer"/>
    <w:basedOn w:val="Normal"/>
    <w:link w:val="FooterChar"/>
    <w:uiPriority w:val="99"/>
    <w:unhideWhenUsed/>
    <w:rsid w:val="004D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0C"/>
    <w:rPr>
      <w:rFonts w:ascii="Calibri" w:eastAsia="Calibri" w:hAnsi="Calibri" w:cs="Times New Roman"/>
    </w:rPr>
  </w:style>
  <w:style w:type="paragraph" w:styleId="BalloonText">
    <w:name w:val="Balloon Text"/>
    <w:basedOn w:val="Normal"/>
    <w:link w:val="BalloonTextChar"/>
    <w:uiPriority w:val="99"/>
    <w:semiHidden/>
    <w:unhideWhenUsed/>
    <w:rsid w:val="005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21"/>
    <w:rPr>
      <w:rFonts w:ascii="Segoe UI" w:eastAsia="Calibri" w:hAnsi="Segoe UI" w:cs="Segoe UI"/>
      <w:sz w:val="18"/>
      <w:szCs w:val="18"/>
    </w:rPr>
  </w:style>
  <w:style w:type="paragraph" w:styleId="ListParagraph">
    <w:name w:val="List Paragraph"/>
    <w:basedOn w:val="Normal"/>
    <w:uiPriority w:val="34"/>
    <w:qFormat/>
    <w:rsid w:val="00E41ABF"/>
    <w:pPr>
      <w:ind w:left="720"/>
      <w:contextualSpacing/>
    </w:pPr>
  </w:style>
  <w:style w:type="table" w:styleId="TableGrid">
    <w:name w:val="Table Grid"/>
    <w:basedOn w:val="TableNormal"/>
    <w:uiPriority w:val="3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A4943"/>
    <w:rPr>
      <w:sz w:val="16"/>
      <w:szCs w:val="16"/>
    </w:rPr>
  </w:style>
  <w:style w:type="paragraph" w:styleId="CommentText">
    <w:name w:val="annotation text"/>
    <w:basedOn w:val="Normal"/>
    <w:link w:val="CommentTextChar"/>
    <w:unhideWhenUsed/>
    <w:rsid w:val="00CA4943"/>
    <w:pPr>
      <w:spacing w:line="240" w:lineRule="auto"/>
    </w:pPr>
    <w:rPr>
      <w:sz w:val="20"/>
      <w:szCs w:val="20"/>
    </w:rPr>
  </w:style>
  <w:style w:type="character" w:customStyle="1" w:styleId="CommentTextChar">
    <w:name w:val="Comment Text Char"/>
    <w:basedOn w:val="DefaultParagraphFont"/>
    <w:link w:val="CommentText"/>
    <w:rsid w:val="00CA49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4943"/>
    <w:rPr>
      <w:b/>
      <w:bCs/>
    </w:rPr>
  </w:style>
  <w:style w:type="character" w:customStyle="1" w:styleId="CommentSubjectChar">
    <w:name w:val="Comment Subject Char"/>
    <w:basedOn w:val="CommentTextChar"/>
    <w:link w:val="CommentSubject"/>
    <w:uiPriority w:val="99"/>
    <w:semiHidden/>
    <w:rsid w:val="00CA494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9A4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26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A4265"/>
    <w:rPr>
      <w:vertAlign w:val="superscript"/>
    </w:rPr>
  </w:style>
  <w:style w:type="character" w:styleId="Hyperlink">
    <w:name w:val="Hyperlink"/>
    <w:basedOn w:val="DefaultParagraphFont"/>
    <w:uiPriority w:val="99"/>
    <w:semiHidden/>
    <w:unhideWhenUsed/>
    <w:rsid w:val="00ED6BB2"/>
    <w:rPr>
      <w:color w:val="0000FF"/>
      <w:u w:val="single"/>
    </w:rPr>
  </w:style>
  <w:style w:type="character" w:styleId="FollowedHyperlink">
    <w:name w:val="FollowedHyperlink"/>
    <w:basedOn w:val="DefaultParagraphFont"/>
    <w:uiPriority w:val="99"/>
    <w:semiHidden/>
    <w:unhideWhenUsed/>
    <w:rsid w:val="00785118"/>
    <w:rPr>
      <w:color w:val="954F72" w:themeColor="followedHyperlink"/>
      <w:u w:val="single"/>
    </w:rPr>
  </w:style>
  <w:style w:type="paragraph" w:styleId="TOCHeading">
    <w:name w:val="TOC Heading"/>
    <w:basedOn w:val="Heading1"/>
    <w:next w:val="Normal"/>
    <w:uiPriority w:val="39"/>
    <w:unhideWhenUsed/>
    <w:qFormat/>
    <w:rsid w:val="00CD5B70"/>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297FCA"/>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297FCA"/>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297FCA"/>
    <w:pPr>
      <w:spacing w:after="100" w:line="259" w:lineRule="auto"/>
      <w:ind w:left="440"/>
    </w:pPr>
    <w:rPr>
      <w:rFonts w:asciiTheme="minorHAnsi" w:eastAsiaTheme="minorEastAsia" w:hAnsiTheme="minorHAnsi"/>
    </w:rPr>
  </w:style>
  <w:style w:type="paragraph" w:styleId="EndnoteText">
    <w:name w:val="endnote text"/>
    <w:basedOn w:val="Normal"/>
    <w:link w:val="EndnoteTextChar"/>
    <w:uiPriority w:val="99"/>
    <w:semiHidden/>
    <w:unhideWhenUsed/>
    <w:rsid w:val="00BD1F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F8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D1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4625">
      <w:bodyDiv w:val="1"/>
      <w:marLeft w:val="0"/>
      <w:marRight w:val="0"/>
      <w:marTop w:val="0"/>
      <w:marBottom w:val="0"/>
      <w:divBdr>
        <w:top w:val="none" w:sz="0" w:space="0" w:color="auto"/>
        <w:left w:val="none" w:sz="0" w:space="0" w:color="auto"/>
        <w:bottom w:val="none" w:sz="0" w:space="0" w:color="auto"/>
        <w:right w:val="none" w:sz="0" w:space="0" w:color="auto"/>
      </w:divBdr>
      <w:divsChild>
        <w:div w:id="257904771">
          <w:marLeft w:val="0"/>
          <w:marRight w:val="0"/>
          <w:marTop w:val="0"/>
          <w:marBottom w:val="0"/>
          <w:divBdr>
            <w:top w:val="none" w:sz="0" w:space="0" w:color="auto"/>
            <w:left w:val="none" w:sz="0" w:space="0" w:color="auto"/>
            <w:bottom w:val="none" w:sz="0" w:space="0" w:color="auto"/>
            <w:right w:val="none" w:sz="0" w:space="0" w:color="auto"/>
          </w:divBdr>
        </w:div>
        <w:div w:id="1447654468">
          <w:marLeft w:val="0"/>
          <w:marRight w:val="0"/>
          <w:marTop w:val="0"/>
          <w:marBottom w:val="0"/>
          <w:divBdr>
            <w:top w:val="none" w:sz="0" w:space="0" w:color="auto"/>
            <w:left w:val="none" w:sz="0" w:space="0" w:color="auto"/>
            <w:bottom w:val="none" w:sz="0" w:space="0" w:color="auto"/>
            <w:right w:val="none" w:sz="0" w:space="0" w:color="auto"/>
          </w:divBdr>
        </w:div>
        <w:div w:id="1848858934">
          <w:marLeft w:val="0"/>
          <w:marRight w:val="0"/>
          <w:marTop w:val="0"/>
          <w:marBottom w:val="0"/>
          <w:divBdr>
            <w:top w:val="none" w:sz="0" w:space="0" w:color="auto"/>
            <w:left w:val="none" w:sz="0" w:space="0" w:color="auto"/>
            <w:bottom w:val="none" w:sz="0" w:space="0" w:color="auto"/>
            <w:right w:val="none" w:sz="0" w:space="0" w:color="auto"/>
          </w:divBdr>
        </w:div>
      </w:divsChild>
    </w:div>
    <w:div w:id="9902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3EB6-EC0D-413A-A557-32B643FE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Glenn (COM)</dc:creator>
  <cp:keywords/>
  <dc:description/>
  <cp:lastModifiedBy>Scharff, Austin (COM)</cp:lastModifiedBy>
  <cp:revision>8</cp:revision>
  <cp:lastPrinted>2020-05-01T00:59:00Z</cp:lastPrinted>
  <dcterms:created xsi:type="dcterms:W3CDTF">2020-05-01T00:31:00Z</dcterms:created>
  <dcterms:modified xsi:type="dcterms:W3CDTF">2020-05-04T17:49:00Z</dcterms:modified>
</cp:coreProperties>
</file>