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9A343" w14:textId="54CC859A" w:rsidR="00780C51" w:rsidRPr="00EC617B" w:rsidRDefault="00780C51" w:rsidP="00780C51">
      <w:pPr>
        <w:jc w:val="center"/>
        <w:rPr>
          <w:rFonts w:ascii="Arial" w:hAnsi="Arial" w:cs="Arial"/>
          <w:b/>
          <w:color w:val="FF0000"/>
          <w:sz w:val="28"/>
          <w:szCs w:val="28"/>
        </w:rPr>
      </w:pPr>
      <w:r w:rsidRPr="001F01CB">
        <w:rPr>
          <w:rFonts w:ascii="Arial" w:hAnsi="Arial" w:cs="Arial"/>
          <w:b/>
          <w:sz w:val="28"/>
          <w:szCs w:val="28"/>
        </w:rPr>
        <w:t>Clean Energy Fund</w:t>
      </w:r>
      <w:r>
        <w:rPr>
          <w:rFonts w:ascii="Arial" w:hAnsi="Arial" w:cs="Arial"/>
          <w:b/>
          <w:sz w:val="28"/>
          <w:szCs w:val="28"/>
        </w:rPr>
        <w:t xml:space="preserve"> #3</w:t>
      </w:r>
      <w:r w:rsidRPr="001F01CB">
        <w:rPr>
          <w:rFonts w:ascii="Arial" w:hAnsi="Arial" w:cs="Arial"/>
          <w:b/>
          <w:sz w:val="28"/>
          <w:szCs w:val="28"/>
        </w:rPr>
        <w:t xml:space="preserve"> (CEF </w:t>
      </w:r>
      <w:r>
        <w:rPr>
          <w:rFonts w:ascii="Arial" w:hAnsi="Arial" w:cs="Arial"/>
          <w:b/>
          <w:sz w:val="28"/>
          <w:szCs w:val="28"/>
        </w:rPr>
        <w:t>#3) – Electrification of Transportation Systems</w:t>
      </w:r>
      <w:r w:rsidRPr="001F01CB">
        <w:rPr>
          <w:rFonts w:ascii="Arial" w:hAnsi="Arial" w:cs="Arial"/>
          <w:b/>
          <w:sz w:val="28"/>
          <w:szCs w:val="28"/>
        </w:rPr>
        <w:br/>
      </w:r>
      <w:r>
        <w:rPr>
          <w:rFonts w:ascii="Arial" w:hAnsi="Arial" w:cs="Arial"/>
          <w:b/>
          <w:sz w:val="28"/>
          <w:szCs w:val="28"/>
        </w:rPr>
        <w:t xml:space="preserve">Question &amp; Answer - </w:t>
      </w:r>
      <w:r w:rsidR="00FA0A8C">
        <w:rPr>
          <w:rFonts w:ascii="Arial" w:hAnsi="Arial" w:cs="Arial"/>
          <w:b/>
          <w:color w:val="FF0000"/>
          <w:sz w:val="28"/>
          <w:szCs w:val="28"/>
        </w:rPr>
        <w:t>Updated 4-28</w:t>
      </w:r>
      <w:r>
        <w:rPr>
          <w:rFonts w:ascii="Arial" w:hAnsi="Arial" w:cs="Arial"/>
          <w:b/>
          <w:color w:val="FF0000"/>
          <w:sz w:val="28"/>
          <w:szCs w:val="28"/>
        </w:rPr>
        <w:t>-2020</w:t>
      </w:r>
    </w:p>
    <w:p w14:paraId="52D9212C" w14:textId="77777777" w:rsidR="00780C51" w:rsidRPr="00FC23B4" w:rsidRDefault="00780C51" w:rsidP="00780C51">
      <w:pPr>
        <w:jc w:val="center"/>
        <w:rPr>
          <w:i/>
        </w:rPr>
      </w:pPr>
      <w:r w:rsidRPr="00FC23B4">
        <w:rPr>
          <w:i/>
        </w:rPr>
        <w:t>Answers in</w:t>
      </w:r>
      <w:r w:rsidRPr="006C1A86">
        <w:rPr>
          <w:i/>
          <w:color w:val="2F5496" w:themeColor="accent5" w:themeShade="BF"/>
        </w:rPr>
        <w:t xml:space="preserve"> dark blue text</w:t>
      </w:r>
      <w:r w:rsidRPr="00FC23B4">
        <w:rPr>
          <w:i/>
        </w:rPr>
        <w:t xml:space="preserve"> were </w:t>
      </w:r>
      <w:r>
        <w:rPr>
          <w:i/>
        </w:rPr>
        <w:t>previously available</w:t>
      </w:r>
      <w:r w:rsidRPr="00FC23B4">
        <w:rPr>
          <w:i/>
        </w:rPr>
        <w:t>.</w:t>
      </w:r>
      <w:r>
        <w:rPr>
          <w:i/>
        </w:rPr>
        <w:t xml:space="preserve"> Answers in black text are new or newly updated.</w:t>
      </w:r>
    </w:p>
    <w:p w14:paraId="6EDA7B09" w14:textId="77777777" w:rsidR="00780C51" w:rsidRPr="00DC75BE" w:rsidRDefault="00780C51" w:rsidP="00780C51">
      <w:pPr>
        <w:rPr>
          <w:rFonts w:ascii="Arial" w:hAnsi="Arial" w:cs="Arial"/>
          <w:b/>
          <w:color w:val="1F4E79" w:themeColor="accent1" w:themeShade="80"/>
        </w:rPr>
      </w:pPr>
      <w:r w:rsidRPr="00DC75BE">
        <w:rPr>
          <w:rFonts w:ascii="Arial" w:hAnsi="Arial" w:cs="Arial"/>
          <w:b/>
          <w:color w:val="1F4E79" w:themeColor="accent1" w:themeShade="80"/>
        </w:rPr>
        <w:t>Bidder’s Conference Attendees:</w:t>
      </w:r>
    </w:p>
    <w:p w14:paraId="4EAEF13E" w14:textId="77777777" w:rsidR="00780C51" w:rsidRPr="00DC75BE" w:rsidRDefault="00780C51" w:rsidP="00780C51">
      <w:pPr>
        <w:jc w:val="center"/>
        <w:rPr>
          <w:rFonts w:ascii="Arial" w:hAnsi="Arial" w:cs="Arial"/>
          <w:color w:val="1F4E79" w:themeColor="accent1" w:themeShade="80"/>
        </w:rPr>
      </w:pPr>
      <w:r w:rsidRPr="00DC75BE">
        <w:rPr>
          <w:rFonts w:ascii="Arial" w:hAnsi="Arial" w:cs="Arial"/>
          <w:color w:val="1F4E79" w:themeColor="accent1" w:themeShade="80"/>
        </w:rPr>
        <w:t xml:space="preserve">(Partial list/information based on public and voluntarily provided information. Please email </w:t>
      </w:r>
      <w:hyperlink r:id="rId8" w:history="1">
        <w:r w:rsidRPr="00DC75BE">
          <w:rPr>
            <w:rStyle w:val="Hyperlink"/>
            <w:rFonts w:ascii="Arial" w:hAnsi="Arial" w:cs="Arial"/>
            <w:color w:val="1F4E79" w:themeColor="accent1" w:themeShade="80"/>
          </w:rPr>
          <w:t>CEF@commerce.wa.gov</w:t>
        </w:r>
      </w:hyperlink>
      <w:r w:rsidRPr="00DC75BE">
        <w:rPr>
          <w:rFonts w:ascii="Arial" w:hAnsi="Arial" w:cs="Arial"/>
          <w:color w:val="1F4E79" w:themeColor="accent1" w:themeShade="80"/>
        </w:rPr>
        <w:t xml:space="preserve"> with name and organization represented if you are interested in being included.)</w:t>
      </w:r>
    </w:p>
    <w:tbl>
      <w:tblPr>
        <w:tblStyle w:val="TableGrid"/>
        <w:tblW w:w="0" w:type="auto"/>
        <w:tblLook w:val="04A0" w:firstRow="1" w:lastRow="0" w:firstColumn="1" w:lastColumn="0" w:noHBand="0" w:noVBand="1"/>
      </w:tblPr>
      <w:tblGrid>
        <w:gridCol w:w="2747"/>
        <w:gridCol w:w="2838"/>
        <w:gridCol w:w="3765"/>
      </w:tblGrid>
      <w:tr w:rsidR="00780C51" w:rsidRPr="00DC75BE" w14:paraId="69CA6C5F" w14:textId="77777777" w:rsidTr="00D90BAF">
        <w:tc>
          <w:tcPr>
            <w:tcW w:w="2747" w:type="dxa"/>
          </w:tcPr>
          <w:p w14:paraId="2869C3CC" w14:textId="77777777" w:rsidR="00780C51" w:rsidRPr="00DC75BE" w:rsidRDefault="00780C51" w:rsidP="00D90BAF">
            <w:pPr>
              <w:jc w:val="center"/>
              <w:rPr>
                <w:rFonts w:ascii="Arial" w:hAnsi="Arial" w:cs="Arial"/>
                <w:b/>
                <w:color w:val="1F4E79" w:themeColor="accent1" w:themeShade="80"/>
              </w:rPr>
            </w:pPr>
            <w:r w:rsidRPr="00DC75BE">
              <w:rPr>
                <w:rFonts w:ascii="Arial" w:hAnsi="Arial" w:cs="Arial"/>
                <w:b/>
                <w:color w:val="1F4E79" w:themeColor="accent1" w:themeShade="80"/>
              </w:rPr>
              <w:t xml:space="preserve">Name </w:t>
            </w:r>
          </w:p>
        </w:tc>
        <w:tc>
          <w:tcPr>
            <w:tcW w:w="2838" w:type="dxa"/>
          </w:tcPr>
          <w:p w14:paraId="7C892EA4" w14:textId="77777777" w:rsidR="00780C51" w:rsidRPr="00DC75BE" w:rsidRDefault="00780C51" w:rsidP="00D90BAF">
            <w:pPr>
              <w:jc w:val="center"/>
              <w:rPr>
                <w:rFonts w:ascii="Arial" w:hAnsi="Arial" w:cs="Arial"/>
                <w:b/>
                <w:color w:val="1F4E79" w:themeColor="accent1" w:themeShade="80"/>
              </w:rPr>
            </w:pPr>
            <w:r w:rsidRPr="00DC75BE">
              <w:rPr>
                <w:rFonts w:ascii="Arial" w:hAnsi="Arial" w:cs="Arial"/>
                <w:b/>
                <w:color w:val="1F4E79" w:themeColor="accent1" w:themeShade="80"/>
              </w:rPr>
              <w:t>Organization</w:t>
            </w:r>
          </w:p>
        </w:tc>
        <w:tc>
          <w:tcPr>
            <w:tcW w:w="3765" w:type="dxa"/>
          </w:tcPr>
          <w:p w14:paraId="35CF38FF" w14:textId="77777777" w:rsidR="00780C51" w:rsidRPr="00DC75BE" w:rsidRDefault="00780C51" w:rsidP="00D90BAF">
            <w:pPr>
              <w:jc w:val="center"/>
              <w:rPr>
                <w:rFonts w:ascii="Arial" w:hAnsi="Arial" w:cs="Arial"/>
                <w:b/>
                <w:color w:val="1F4E79" w:themeColor="accent1" w:themeShade="80"/>
              </w:rPr>
            </w:pPr>
            <w:r w:rsidRPr="00DC75BE">
              <w:rPr>
                <w:rFonts w:ascii="Arial" w:hAnsi="Arial" w:cs="Arial"/>
                <w:b/>
                <w:color w:val="1F4E79" w:themeColor="accent1" w:themeShade="80"/>
              </w:rPr>
              <w:t>Email</w:t>
            </w:r>
          </w:p>
        </w:tc>
      </w:tr>
      <w:tr w:rsidR="00780C51" w:rsidRPr="00DC75BE" w14:paraId="03886F7E" w14:textId="77777777" w:rsidTr="00D90BAF">
        <w:tc>
          <w:tcPr>
            <w:tcW w:w="2747" w:type="dxa"/>
          </w:tcPr>
          <w:p w14:paraId="15AC5B45"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Russ Pittis</w:t>
            </w:r>
          </w:p>
        </w:tc>
        <w:tc>
          <w:tcPr>
            <w:tcW w:w="2838" w:type="dxa"/>
          </w:tcPr>
          <w:p w14:paraId="103628FB"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City of Anacortes</w:t>
            </w:r>
          </w:p>
        </w:tc>
        <w:tc>
          <w:tcPr>
            <w:tcW w:w="3765" w:type="dxa"/>
          </w:tcPr>
          <w:p w14:paraId="08CEE088" w14:textId="77777777" w:rsidR="00780C51" w:rsidRPr="00DC75BE" w:rsidRDefault="00B37C07" w:rsidP="00D90BAF">
            <w:pPr>
              <w:jc w:val="center"/>
              <w:rPr>
                <w:rFonts w:ascii="Arial" w:hAnsi="Arial" w:cs="Arial"/>
                <w:color w:val="1F4E79" w:themeColor="accent1" w:themeShade="80"/>
              </w:rPr>
            </w:pPr>
            <w:hyperlink r:id="rId9" w:history="1">
              <w:r w:rsidR="00780C51" w:rsidRPr="00DC75BE">
                <w:rPr>
                  <w:rStyle w:val="Hyperlink"/>
                  <w:rFonts w:ascii="Arial" w:hAnsi="Arial" w:cs="Arial"/>
                  <w:color w:val="1F4E79" w:themeColor="accent1" w:themeShade="80"/>
                </w:rPr>
                <w:t>russ@cityofanacortes.org</w:t>
              </w:r>
            </w:hyperlink>
            <w:r w:rsidR="00780C51" w:rsidRPr="00DC75BE">
              <w:rPr>
                <w:rFonts w:ascii="Arial" w:hAnsi="Arial" w:cs="Arial"/>
                <w:color w:val="1F4E79" w:themeColor="accent1" w:themeShade="80"/>
              </w:rPr>
              <w:t xml:space="preserve"> </w:t>
            </w:r>
          </w:p>
        </w:tc>
      </w:tr>
      <w:tr w:rsidR="00780C51" w:rsidRPr="00DC75BE" w14:paraId="49C616A3" w14:textId="77777777" w:rsidTr="00D90BAF">
        <w:tc>
          <w:tcPr>
            <w:tcW w:w="2747" w:type="dxa"/>
          </w:tcPr>
          <w:p w14:paraId="2429DD16"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Jackie Orenberg</w:t>
            </w:r>
          </w:p>
        </w:tc>
        <w:tc>
          <w:tcPr>
            <w:tcW w:w="2838" w:type="dxa"/>
          </w:tcPr>
          <w:p w14:paraId="75136430" w14:textId="77777777" w:rsidR="00780C51" w:rsidRPr="00DC75BE" w:rsidRDefault="00780C51" w:rsidP="00D90BAF">
            <w:pPr>
              <w:jc w:val="center"/>
              <w:rPr>
                <w:rFonts w:ascii="Arial" w:hAnsi="Arial" w:cs="Arial"/>
                <w:color w:val="1F4E79" w:themeColor="accent1" w:themeShade="80"/>
              </w:rPr>
            </w:pPr>
          </w:p>
        </w:tc>
        <w:tc>
          <w:tcPr>
            <w:tcW w:w="3765" w:type="dxa"/>
          </w:tcPr>
          <w:p w14:paraId="03F7856B" w14:textId="77777777" w:rsidR="00780C51" w:rsidRPr="00DC75BE" w:rsidRDefault="00780C51" w:rsidP="00D90BAF">
            <w:pPr>
              <w:jc w:val="center"/>
              <w:rPr>
                <w:rFonts w:ascii="Arial" w:hAnsi="Arial" w:cs="Arial"/>
                <w:color w:val="1F4E79" w:themeColor="accent1" w:themeShade="80"/>
              </w:rPr>
            </w:pPr>
          </w:p>
        </w:tc>
      </w:tr>
      <w:tr w:rsidR="00780C51" w:rsidRPr="00DC75BE" w14:paraId="6FEC551C" w14:textId="77777777" w:rsidTr="00D90BAF">
        <w:tc>
          <w:tcPr>
            <w:tcW w:w="2747" w:type="dxa"/>
          </w:tcPr>
          <w:p w14:paraId="4F5F50F8"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Shital Saini</w:t>
            </w:r>
          </w:p>
        </w:tc>
        <w:tc>
          <w:tcPr>
            <w:tcW w:w="2838" w:type="dxa"/>
          </w:tcPr>
          <w:p w14:paraId="16B20733" w14:textId="77777777" w:rsidR="00780C51" w:rsidRPr="00DC75BE" w:rsidRDefault="00780C51" w:rsidP="00D90BAF">
            <w:pPr>
              <w:jc w:val="center"/>
              <w:rPr>
                <w:rFonts w:ascii="Arial" w:hAnsi="Arial" w:cs="Arial"/>
                <w:color w:val="1F4E79" w:themeColor="accent1" w:themeShade="80"/>
              </w:rPr>
            </w:pPr>
          </w:p>
        </w:tc>
        <w:tc>
          <w:tcPr>
            <w:tcW w:w="3765" w:type="dxa"/>
          </w:tcPr>
          <w:p w14:paraId="46CADF7B" w14:textId="77777777" w:rsidR="00780C51" w:rsidRPr="00DC75BE" w:rsidRDefault="00780C51" w:rsidP="00D90BAF">
            <w:pPr>
              <w:jc w:val="center"/>
              <w:rPr>
                <w:rFonts w:ascii="Arial" w:hAnsi="Arial" w:cs="Arial"/>
                <w:color w:val="1F4E79" w:themeColor="accent1" w:themeShade="80"/>
              </w:rPr>
            </w:pPr>
          </w:p>
        </w:tc>
      </w:tr>
      <w:tr w:rsidR="00780C51" w:rsidRPr="00DC75BE" w14:paraId="0359641D" w14:textId="77777777" w:rsidTr="00D90BAF">
        <w:tc>
          <w:tcPr>
            <w:tcW w:w="2747" w:type="dxa"/>
          </w:tcPr>
          <w:p w14:paraId="588A14CC"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Travis Neal</w:t>
            </w:r>
          </w:p>
        </w:tc>
        <w:tc>
          <w:tcPr>
            <w:tcW w:w="2838" w:type="dxa"/>
          </w:tcPr>
          <w:p w14:paraId="444CB93D" w14:textId="77777777" w:rsidR="00780C51" w:rsidRPr="00DC75BE" w:rsidRDefault="00780C51" w:rsidP="00D90BAF">
            <w:pPr>
              <w:jc w:val="center"/>
              <w:rPr>
                <w:rFonts w:ascii="Arial" w:hAnsi="Arial" w:cs="Arial"/>
                <w:color w:val="1F4E79" w:themeColor="accent1" w:themeShade="80"/>
              </w:rPr>
            </w:pPr>
          </w:p>
        </w:tc>
        <w:tc>
          <w:tcPr>
            <w:tcW w:w="3765" w:type="dxa"/>
          </w:tcPr>
          <w:p w14:paraId="4E6B3EEA" w14:textId="77777777" w:rsidR="00780C51" w:rsidRPr="00DC75BE" w:rsidRDefault="00780C51" w:rsidP="00D90BAF">
            <w:pPr>
              <w:jc w:val="center"/>
              <w:rPr>
                <w:rFonts w:ascii="Arial" w:hAnsi="Arial" w:cs="Arial"/>
                <w:color w:val="1F4E79" w:themeColor="accent1" w:themeShade="80"/>
              </w:rPr>
            </w:pPr>
          </w:p>
        </w:tc>
      </w:tr>
      <w:tr w:rsidR="00780C51" w:rsidRPr="00DC75BE" w14:paraId="5191BA21" w14:textId="77777777" w:rsidTr="00D90BAF">
        <w:tc>
          <w:tcPr>
            <w:tcW w:w="2747" w:type="dxa"/>
          </w:tcPr>
          <w:p w14:paraId="17625C7E"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Keri Cleary</w:t>
            </w:r>
          </w:p>
        </w:tc>
        <w:tc>
          <w:tcPr>
            <w:tcW w:w="2838" w:type="dxa"/>
          </w:tcPr>
          <w:p w14:paraId="33830AD7" w14:textId="77777777" w:rsidR="00780C51" w:rsidRPr="00DC75BE" w:rsidRDefault="00780C51" w:rsidP="00D90BAF">
            <w:pPr>
              <w:jc w:val="center"/>
              <w:rPr>
                <w:rFonts w:ascii="Arial" w:hAnsi="Arial" w:cs="Arial"/>
                <w:color w:val="1F4E79" w:themeColor="accent1" w:themeShade="80"/>
              </w:rPr>
            </w:pPr>
          </w:p>
        </w:tc>
        <w:tc>
          <w:tcPr>
            <w:tcW w:w="3765" w:type="dxa"/>
          </w:tcPr>
          <w:p w14:paraId="4543B55E" w14:textId="77777777" w:rsidR="00780C51" w:rsidRPr="00DC75BE" w:rsidRDefault="00780C51" w:rsidP="00D90BAF">
            <w:pPr>
              <w:jc w:val="center"/>
              <w:rPr>
                <w:rFonts w:ascii="Arial" w:hAnsi="Arial" w:cs="Arial"/>
                <w:color w:val="1F4E79" w:themeColor="accent1" w:themeShade="80"/>
              </w:rPr>
            </w:pPr>
          </w:p>
        </w:tc>
      </w:tr>
      <w:tr w:rsidR="00780C51" w:rsidRPr="00DC75BE" w14:paraId="55423B6A" w14:textId="77777777" w:rsidTr="00D90BAF">
        <w:tc>
          <w:tcPr>
            <w:tcW w:w="2747" w:type="dxa"/>
          </w:tcPr>
          <w:p w14:paraId="5E9E5BCD"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Kim Tryhorn</w:t>
            </w:r>
          </w:p>
        </w:tc>
        <w:tc>
          <w:tcPr>
            <w:tcW w:w="2838" w:type="dxa"/>
          </w:tcPr>
          <w:p w14:paraId="7C34C32D" w14:textId="77777777" w:rsidR="00780C51" w:rsidRPr="00DC75BE" w:rsidRDefault="00780C51" w:rsidP="00D90BAF">
            <w:pPr>
              <w:jc w:val="center"/>
              <w:rPr>
                <w:rFonts w:ascii="Arial" w:hAnsi="Arial" w:cs="Arial"/>
                <w:color w:val="1F4E79" w:themeColor="accent1" w:themeShade="80"/>
              </w:rPr>
            </w:pPr>
          </w:p>
        </w:tc>
        <w:tc>
          <w:tcPr>
            <w:tcW w:w="3765" w:type="dxa"/>
          </w:tcPr>
          <w:p w14:paraId="0F309148" w14:textId="77777777" w:rsidR="00780C51" w:rsidRPr="00DC75BE" w:rsidRDefault="00780C51" w:rsidP="00D90BAF">
            <w:pPr>
              <w:jc w:val="center"/>
              <w:rPr>
                <w:rFonts w:ascii="Arial" w:hAnsi="Arial" w:cs="Arial"/>
                <w:color w:val="1F4E79" w:themeColor="accent1" w:themeShade="80"/>
              </w:rPr>
            </w:pPr>
          </w:p>
        </w:tc>
      </w:tr>
      <w:tr w:rsidR="00780C51" w:rsidRPr="00DC75BE" w14:paraId="7C7CBD9B" w14:textId="77777777" w:rsidTr="00D90BAF">
        <w:tc>
          <w:tcPr>
            <w:tcW w:w="2747" w:type="dxa"/>
          </w:tcPr>
          <w:p w14:paraId="68EE3D8D"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Krishan Aggarwal</w:t>
            </w:r>
          </w:p>
        </w:tc>
        <w:tc>
          <w:tcPr>
            <w:tcW w:w="2838" w:type="dxa"/>
          </w:tcPr>
          <w:p w14:paraId="16BC4795" w14:textId="77777777" w:rsidR="00780C51" w:rsidRPr="00DC75BE" w:rsidRDefault="00780C51" w:rsidP="00D90BAF">
            <w:pPr>
              <w:jc w:val="center"/>
              <w:rPr>
                <w:rFonts w:ascii="Arial" w:hAnsi="Arial" w:cs="Arial"/>
                <w:color w:val="1F4E79" w:themeColor="accent1" w:themeShade="80"/>
              </w:rPr>
            </w:pPr>
          </w:p>
        </w:tc>
        <w:tc>
          <w:tcPr>
            <w:tcW w:w="3765" w:type="dxa"/>
          </w:tcPr>
          <w:p w14:paraId="5012CE2F" w14:textId="77777777" w:rsidR="00780C51" w:rsidRPr="00DC75BE" w:rsidRDefault="00780C51" w:rsidP="00D90BAF">
            <w:pPr>
              <w:jc w:val="center"/>
              <w:rPr>
                <w:rFonts w:ascii="Arial" w:hAnsi="Arial" w:cs="Arial"/>
                <w:color w:val="1F4E79" w:themeColor="accent1" w:themeShade="80"/>
              </w:rPr>
            </w:pPr>
          </w:p>
        </w:tc>
      </w:tr>
      <w:tr w:rsidR="00780C51" w:rsidRPr="00DC75BE" w14:paraId="7EC82ACC" w14:textId="77777777" w:rsidTr="00D90BAF">
        <w:tc>
          <w:tcPr>
            <w:tcW w:w="2747" w:type="dxa"/>
          </w:tcPr>
          <w:p w14:paraId="5882F006"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Mike McGee</w:t>
            </w:r>
          </w:p>
        </w:tc>
        <w:tc>
          <w:tcPr>
            <w:tcW w:w="2838" w:type="dxa"/>
          </w:tcPr>
          <w:p w14:paraId="323EF4D1" w14:textId="77777777" w:rsidR="00780C51" w:rsidRPr="00DC75BE" w:rsidRDefault="00780C51" w:rsidP="00D90BAF">
            <w:pPr>
              <w:jc w:val="center"/>
              <w:rPr>
                <w:rFonts w:ascii="Arial" w:hAnsi="Arial" w:cs="Arial"/>
                <w:color w:val="1F4E79" w:themeColor="accent1" w:themeShade="80"/>
              </w:rPr>
            </w:pPr>
          </w:p>
        </w:tc>
        <w:tc>
          <w:tcPr>
            <w:tcW w:w="3765" w:type="dxa"/>
          </w:tcPr>
          <w:p w14:paraId="3442B936" w14:textId="77777777" w:rsidR="00780C51" w:rsidRPr="00DC75BE" w:rsidRDefault="00780C51" w:rsidP="00D90BAF">
            <w:pPr>
              <w:jc w:val="center"/>
              <w:rPr>
                <w:rFonts w:ascii="Arial" w:hAnsi="Arial" w:cs="Arial"/>
                <w:color w:val="1F4E79" w:themeColor="accent1" w:themeShade="80"/>
              </w:rPr>
            </w:pPr>
          </w:p>
        </w:tc>
      </w:tr>
      <w:tr w:rsidR="00780C51" w:rsidRPr="00DC75BE" w14:paraId="2AC5929F" w14:textId="77777777" w:rsidTr="00D90BAF">
        <w:tc>
          <w:tcPr>
            <w:tcW w:w="2747" w:type="dxa"/>
          </w:tcPr>
          <w:p w14:paraId="601EE0AC"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David Fletcher</w:t>
            </w:r>
          </w:p>
        </w:tc>
        <w:tc>
          <w:tcPr>
            <w:tcW w:w="2838" w:type="dxa"/>
          </w:tcPr>
          <w:p w14:paraId="1B9E1D66" w14:textId="77777777" w:rsidR="00780C51" w:rsidRPr="00DC75BE" w:rsidRDefault="00780C51" w:rsidP="00D90BAF">
            <w:pPr>
              <w:jc w:val="center"/>
              <w:rPr>
                <w:rFonts w:ascii="Arial" w:hAnsi="Arial" w:cs="Arial"/>
                <w:color w:val="1F4E79" w:themeColor="accent1" w:themeShade="80"/>
              </w:rPr>
            </w:pPr>
          </w:p>
        </w:tc>
        <w:tc>
          <w:tcPr>
            <w:tcW w:w="3765" w:type="dxa"/>
          </w:tcPr>
          <w:p w14:paraId="1BDA8FA6" w14:textId="77777777" w:rsidR="00780C51" w:rsidRPr="00DC75BE" w:rsidRDefault="00780C51" w:rsidP="00D90BAF">
            <w:pPr>
              <w:jc w:val="center"/>
              <w:rPr>
                <w:rFonts w:ascii="Arial" w:hAnsi="Arial" w:cs="Arial"/>
                <w:color w:val="1F4E79" w:themeColor="accent1" w:themeShade="80"/>
              </w:rPr>
            </w:pPr>
          </w:p>
        </w:tc>
      </w:tr>
      <w:tr w:rsidR="00780C51" w:rsidRPr="00DC75BE" w14:paraId="19199C27" w14:textId="77777777" w:rsidTr="00D90BAF">
        <w:tc>
          <w:tcPr>
            <w:tcW w:w="2747" w:type="dxa"/>
          </w:tcPr>
          <w:p w14:paraId="7896A3E4"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Sabrina Minshall</w:t>
            </w:r>
          </w:p>
        </w:tc>
        <w:tc>
          <w:tcPr>
            <w:tcW w:w="2838" w:type="dxa"/>
          </w:tcPr>
          <w:p w14:paraId="461A62A1"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Spokane Regional Transportation Council (SRTC)</w:t>
            </w:r>
          </w:p>
        </w:tc>
        <w:tc>
          <w:tcPr>
            <w:tcW w:w="3765" w:type="dxa"/>
          </w:tcPr>
          <w:p w14:paraId="7D469D9D"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sminshall@srtc.org</w:t>
            </w:r>
          </w:p>
        </w:tc>
      </w:tr>
      <w:tr w:rsidR="00780C51" w:rsidRPr="00DC75BE" w14:paraId="69D9FF92" w14:textId="77777777" w:rsidTr="00D90BAF">
        <w:tc>
          <w:tcPr>
            <w:tcW w:w="2747" w:type="dxa"/>
          </w:tcPr>
          <w:p w14:paraId="0688516C"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Jennifer Harper</w:t>
            </w:r>
          </w:p>
        </w:tc>
        <w:tc>
          <w:tcPr>
            <w:tcW w:w="2838" w:type="dxa"/>
          </w:tcPr>
          <w:p w14:paraId="36A85A20"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Energy Northwest</w:t>
            </w:r>
          </w:p>
        </w:tc>
        <w:tc>
          <w:tcPr>
            <w:tcW w:w="3765" w:type="dxa"/>
          </w:tcPr>
          <w:p w14:paraId="739658CF" w14:textId="77777777" w:rsidR="00780C51" w:rsidRPr="00DC75BE" w:rsidRDefault="00780C51" w:rsidP="00D90BAF">
            <w:pPr>
              <w:jc w:val="center"/>
              <w:rPr>
                <w:rFonts w:ascii="Arial" w:hAnsi="Arial" w:cs="Arial"/>
                <w:color w:val="1F4E79" w:themeColor="accent1" w:themeShade="80"/>
              </w:rPr>
            </w:pPr>
          </w:p>
        </w:tc>
      </w:tr>
      <w:tr w:rsidR="00780C51" w:rsidRPr="00DC75BE" w14:paraId="08DEC64F" w14:textId="77777777" w:rsidTr="00D90BAF">
        <w:tc>
          <w:tcPr>
            <w:tcW w:w="2747" w:type="dxa"/>
          </w:tcPr>
          <w:p w14:paraId="6B2E8656"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Sarah Calvillo Hoffman</w:t>
            </w:r>
          </w:p>
        </w:tc>
        <w:tc>
          <w:tcPr>
            <w:tcW w:w="2838" w:type="dxa"/>
          </w:tcPr>
          <w:p w14:paraId="72E48C92" w14:textId="77777777" w:rsidR="00780C51" w:rsidRPr="00DC75BE" w:rsidRDefault="00780C51" w:rsidP="00D90BAF">
            <w:pPr>
              <w:jc w:val="center"/>
              <w:rPr>
                <w:rFonts w:ascii="Arial" w:hAnsi="Arial" w:cs="Arial"/>
                <w:color w:val="1F4E79" w:themeColor="accent1" w:themeShade="80"/>
              </w:rPr>
            </w:pPr>
          </w:p>
        </w:tc>
        <w:tc>
          <w:tcPr>
            <w:tcW w:w="3765" w:type="dxa"/>
          </w:tcPr>
          <w:p w14:paraId="44F1BCA4" w14:textId="77777777" w:rsidR="00780C51" w:rsidRPr="00DC75BE" w:rsidRDefault="00780C51" w:rsidP="00D90BAF">
            <w:pPr>
              <w:jc w:val="center"/>
              <w:rPr>
                <w:rFonts w:ascii="Arial" w:hAnsi="Arial" w:cs="Arial"/>
                <w:color w:val="1F4E79" w:themeColor="accent1" w:themeShade="80"/>
              </w:rPr>
            </w:pPr>
          </w:p>
        </w:tc>
      </w:tr>
      <w:tr w:rsidR="00780C51" w:rsidRPr="00DC75BE" w14:paraId="59B46F85" w14:textId="77777777" w:rsidTr="00D90BAF">
        <w:tc>
          <w:tcPr>
            <w:tcW w:w="2747" w:type="dxa"/>
          </w:tcPr>
          <w:p w14:paraId="656A794C"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Bianca Smith</w:t>
            </w:r>
          </w:p>
        </w:tc>
        <w:tc>
          <w:tcPr>
            <w:tcW w:w="2838" w:type="dxa"/>
          </w:tcPr>
          <w:p w14:paraId="40BC4614" w14:textId="77777777" w:rsidR="00780C51" w:rsidRPr="00DC75BE" w:rsidRDefault="00780C51" w:rsidP="00D90BAF">
            <w:pPr>
              <w:jc w:val="center"/>
              <w:rPr>
                <w:rFonts w:ascii="Arial" w:hAnsi="Arial" w:cs="Arial"/>
                <w:color w:val="1F4E79" w:themeColor="accent1" w:themeShade="80"/>
              </w:rPr>
            </w:pPr>
          </w:p>
        </w:tc>
        <w:tc>
          <w:tcPr>
            <w:tcW w:w="3765" w:type="dxa"/>
          </w:tcPr>
          <w:p w14:paraId="11D95592" w14:textId="77777777" w:rsidR="00780C51" w:rsidRPr="00DC75BE" w:rsidRDefault="00780C51" w:rsidP="00D90BAF">
            <w:pPr>
              <w:jc w:val="center"/>
              <w:rPr>
                <w:rFonts w:ascii="Arial" w:hAnsi="Arial" w:cs="Arial"/>
                <w:color w:val="1F4E79" w:themeColor="accent1" w:themeShade="80"/>
              </w:rPr>
            </w:pPr>
          </w:p>
        </w:tc>
      </w:tr>
      <w:tr w:rsidR="00780C51" w:rsidRPr="00DC75BE" w14:paraId="382FEDD1" w14:textId="77777777" w:rsidTr="00D90BAF">
        <w:tc>
          <w:tcPr>
            <w:tcW w:w="2747" w:type="dxa"/>
          </w:tcPr>
          <w:p w14:paraId="7A2724F8"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Eric Irelan</w:t>
            </w:r>
          </w:p>
        </w:tc>
        <w:tc>
          <w:tcPr>
            <w:tcW w:w="2838" w:type="dxa"/>
          </w:tcPr>
          <w:p w14:paraId="4AC22E43" w14:textId="77777777" w:rsidR="00780C51" w:rsidRPr="00DC75BE" w:rsidRDefault="00780C51" w:rsidP="00D90BAF">
            <w:pPr>
              <w:jc w:val="center"/>
              <w:rPr>
                <w:rFonts w:ascii="Arial" w:hAnsi="Arial" w:cs="Arial"/>
                <w:color w:val="1F4E79" w:themeColor="accent1" w:themeShade="80"/>
              </w:rPr>
            </w:pPr>
          </w:p>
        </w:tc>
        <w:tc>
          <w:tcPr>
            <w:tcW w:w="3765" w:type="dxa"/>
          </w:tcPr>
          <w:p w14:paraId="16759709" w14:textId="77777777" w:rsidR="00780C51" w:rsidRPr="00DC75BE" w:rsidRDefault="00780C51" w:rsidP="00D90BAF">
            <w:pPr>
              <w:jc w:val="center"/>
              <w:rPr>
                <w:rFonts w:ascii="Arial" w:hAnsi="Arial" w:cs="Arial"/>
                <w:color w:val="1F4E79" w:themeColor="accent1" w:themeShade="80"/>
              </w:rPr>
            </w:pPr>
          </w:p>
        </w:tc>
      </w:tr>
      <w:tr w:rsidR="00780C51" w:rsidRPr="00DC75BE" w14:paraId="1DF27F86" w14:textId="77777777" w:rsidTr="00D90BAF">
        <w:tc>
          <w:tcPr>
            <w:tcW w:w="2747" w:type="dxa"/>
          </w:tcPr>
          <w:p w14:paraId="21C33196"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Tonia Buell</w:t>
            </w:r>
          </w:p>
        </w:tc>
        <w:tc>
          <w:tcPr>
            <w:tcW w:w="2838" w:type="dxa"/>
          </w:tcPr>
          <w:p w14:paraId="585205FB" w14:textId="77777777" w:rsidR="00780C51" w:rsidRPr="00DC75BE" w:rsidRDefault="00780C51" w:rsidP="00D90BAF">
            <w:pPr>
              <w:jc w:val="center"/>
              <w:rPr>
                <w:rFonts w:ascii="Arial" w:hAnsi="Arial" w:cs="Arial"/>
                <w:color w:val="1F4E79" w:themeColor="accent1" w:themeShade="80"/>
              </w:rPr>
            </w:pPr>
          </w:p>
        </w:tc>
        <w:tc>
          <w:tcPr>
            <w:tcW w:w="3765" w:type="dxa"/>
          </w:tcPr>
          <w:p w14:paraId="5DBC5AC1" w14:textId="77777777" w:rsidR="00780C51" w:rsidRPr="00DC75BE" w:rsidRDefault="00780C51" w:rsidP="00D90BAF">
            <w:pPr>
              <w:jc w:val="center"/>
              <w:rPr>
                <w:rFonts w:ascii="Arial" w:hAnsi="Arial" w:cs="Arial"/>
                <w:color w:val="1F4E79" w:themeColor="accent1" w:themeShade="80"/>
              </w:rPr>
            </w:pPr>
          </w:p>
        </w:tc>
      </w:tr>
      <w:tr w:rsidR="00780C51" w:rsidRPr="00DC75BE" w14:paraId="178620EA" w14:textId="77777777" w:rsidTr="00D90BAF">
        <w:tc>
          <w:tcPr>
            <w:tcW w:w="2747" w:type="dxa"/>
          </w:tcPr>
          <w:p w14:paraId="7B12F03F"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Kelly O’Callahan</w:t>
            </w:r>
          </w:p>
        </w:tc>
        <w:tc>
          <w:tcPr>
            <w:tcW w:w="2838" w:type="dxa"/>
          </w:tcPr>
          <w:p w14:paraId="2097A669" w14:textId="77777777" w:rsidR="00780C51" w:rsidRPr="00DC75BE" w:rsidRDefault="00780C51" w:rsidP="00D90BAF">
            <w:pPr>
              <w:jc w:val="center"/>
              <w:rPr>
                <w:rFonts w:ascii="Arial" w:hAnsi="Arial" w:cs="Arial"/>
                <w:color w:val="1F4E79" w:themeColor="accent1" w:themeShade="80"/>
              </w:rPr>
            </w:pPr>
          </w:p>
        </w:tc>
        <w:tc>
          <w:tcPr>
            <w:tcW w:w="3765" w:type="dxa"/>
          </w:tcPr>
          <w:p w14:paraId="74D7D7FE" w14:textId="77777777" w:rsidR="00780C51" w:rsidRPr="00DC75BE" w:rsidRDefault="00780C51" w:rsidP="00D90BAF">
            <w:pPr>
              <w:jc w:val="center"/>
              <w:rPr>
                <w:rFonts w:ascii="Arial" w:hAnsi="Arial" w:cs="Arial"/>
                <w:color w:val="1F4E79" w:themeColor="accent1" w:themeShade="80"/>
              </w:rPr>
            </w:pPr>
          </w:p>
        </w:tc>
      </w:tr>
      <w:tr w:rsidR="00780C51" w:rsidRPr="00DC75BE" w14:paraId="4C9DE4C0" w14:textId="77777777" w:rsidTr="00D90BAF">
        <w:tc>
          <w:tcPr>
            <w:tcW w:w="2747" w:type="dxa"/>
          </w:tcPr>
          <w:p w14:paraId="0FA96B61" w14:textId="77777777" w:rsidR="00780C51" w:rsidRPr="00DC75BE" w:rsidRDefault="00780C51" w:rsidP="00D90BAF">
            <w:pPr>
              <w:jc w:val="center"/>
              <w:rPr>
                <w:rFonts w:ascii="Arial" w:hAnsi="Arial" w:cs="Arial"/>
                <w:color w:val="1F4E79" w:themeColor="accent1" w:themeShade="80"/>
              </w:rPr>
            </w:pPr>
          </w:p>
        </w:tc>
        <w:tc>
          <w:tcPr>
            <w:tcW w:w="2838" w:type="dxa"/>
          </w:tcPr>
          <w:p w14:paraId="71892ED1"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Paired Power</w:t>
            </w:r>
          </w:p>
        </w:tc>
        <w:tc>
          <w:tcPr>
            <w:tcW w:w="3765" w:type="dxa"/>
          </w:tcPr>
          <w:p w14:paraId="36D60C2D" w14:textId="77777777" w:rsidR="00780C51" w:rsidRPr="00DC75BE" w:rsidRDefault="00780C51" w:rsidP="00D90BAF">
            <w:pPr>
              <w:jc w:val="center"/>
              <w:rPr>
                <w:rFonts w:ascii="Arial" w:hAnsi="Arial" w:cs="Arial"/>
                <w:color w:val="1F4E79" w:themeColor="accent1" w:themeShade="80"/>
              </w:rPr>
            </w:pPr>
          </w:p>
        </w:tc>
      </w:tr>
      <w:tr w:rsidR="00780C51" w:rsidRPr="00DC75BE" w14:paraId="031AAC07" w14:textId="77777777" w:rsidTr="00D90BAF">
        <w:tc>
          <w:tcPr>
            <w:tcW w:w="2747" w:type="dxa"/>
          </w:tcPr>
          <w:p w14:paraId="605D81C0"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Suzanne Frew</w:t>
            </w:r>
          </w:p>
        </w:tc>
        <w:tc>
          <w:tcPr>
            <w:tcW w:w="2838" w:type="dxa"/>
          </w:tcPr>
          <w:p w14:paraId="7E478115"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Snohomish PUD</w:t>
            </w:r>
          </w:p>
        </w:tc>
        <w:tc>
          <w:tcPr>
            <w:tcW w:w="3765" w:type="dxa"/>
          </w:tcPr>
          <w:p w14:paraId="182FF6C5"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SCFrew@SNOPUD.com</w:t>
            </w:r>
          </w:p>
        </w:tc>
      </w:tr>
      <w:tr w:rsidR="00780C51" w:rsidRPr="00DC75BE" w14:paraId="0E0D135F" w14:textId="77777777" w:rsidTr="00D90BAF">
        <w:tc>
          <w:tcPr>
            <w:tcW w:w="2747" w:type="dxa"/>
          </w:tcPr>
          <w:p w14:paraId="31462E75"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Richard Meier</w:t>
            </w:r>
          </w:p>
        </w:tc>
        <w:tc>
          <w:tcPr>
            <w:tcW w:w="2838" w:type="dxa"/>
          </w:tcPr>
          <w:p w14:paraId="6C7114E5"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Clallam County Administration</w:t>
            </w:r>
          </w:p>
        </w:tc>
        <w:tc>
          <w:tcPr>
            <w:tcW w:w="3765" w:type="dxa"/>
          </w:tcPr>
          <w:p w14:paraId="493B9698"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rmeier@co.clallam.wa.us</w:t>
            </w:r>
          </w:p>
        </w:tc>
      </w:tr>
      <w:tr w:rsidR="00780C51" w:rsidRPr="00DC75BE" w14:paraId="27E67562" w14:textId="77777777" w:rsidTr="00D90BAF">
        <w:tc>
          <w:tcPr>
            <w:tcW w:w="2747" w:type="dxa"/>
          </w:tcPr>
          <w:p w14:paraId="26ACE84C"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Nathan Crain</w:t>
            </w:r>
          </w:p>
        </w:tc>
        <w:tc>
          <w:tcPr>
            <w:tcW w:w="2838" w:type="dxa"/>
          </w:tcPr>
          <w:p w14:paraId="52587BB5" w14:textId="77777777" w:rsidR="00780C51" w:rsidRPr="00DC75BE" w:rsidRDefault="00780C51" w:rsidP="00D90BAF">
            <w:pPr>
              <w:jc w:val="center"/>
              <w:rPr>
                <w:rFonts w:ascii="Arial" w:hAnsi="Arial" w:cs="Arial"/>
                <w:color w:val="1F4E79" w:themeColor="accent1" w:themeShade="80"/>
              </w:rPr>
            </w:pPr>
          </w:p>
        </w:tc>
        <w:tc>
          <w:tcPr>
            <w:tcW w:w="3765" w:type="dxa"/>
          </w:tcPr>
          <w:p w14:paraId="278EAF43" w14:textId="77777777" w:rsidR="00780C51" w:rsidRPr="00DC75BE" w:rsidRDefault="00780C51" w:rsidP="00D90BAF">
            <w:pPr>
              <w:jc w:val="center"/>
              <w:rPr>
                <w:rFonts w:ascii="Arial" w:hAnsi="Arial" w:cs="Arial"/>
                <w:color w:val="1F4E79" w:themeColor="accent1" w:themeShade="80"/>
              </w:rPr>
            </w:pPr>
          </w:p>
        </w:tc>
      </w:tr>
      <w:tr w:rsidR="00780C51" w:rsidRPr="00DC75BE" w14:paraId="1B1AEC66" w14:textId="77777777" w:rsidTr="00D90BAF">
        <w:tc>
          <w:tcPr>
            <w:tcW w:w="2747" w:type="dxa"/>
          </w:tcPr>
          <w:p w14:paraId="4F31F47C"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Kyle Miller</w:t>
            </w:r>
          </w:p>
        </w:tc>
        <w:tc>
          <w:tcPr>
            <w:tcW w:w="2838" w:type="dxa"/>
          </w:tcPr>
          <w:p w14:paraId="4A7D289D" w14:textId="77777777" w:rsidR="00780C51" w:rsidRPr="00DC75BE" w:rsidRDefault="00780C51" w:rsidP="00D90BAF">
            <w:pPr>
              <w:jc w:val="center"/>
              <w:rPr>
                <w:rFonts w:ascii="Arial" w:hAnsi="Arial" w:cs="Arial"/>
                <w:color w:val="1F4E79" w:themeColor="accent1" w:themeShade="80"/>
              </w:rPr>
            </w:pPr>
          </w:p>
        </w:tc>
        <w:tc>
          <w:tcPr>
            <w:tcW w:w="3765" w:type="dxa"/>
          </w:tcPr>
          <w:p w14:paraId="3E8BFAA2" w14:textId="77777777" w:rsidR="00780C51" w:rsidRPr="00DC75BE" w:rsidRDefault="00780C51" w:rsidP="00D90BAF">
            <w:pPr>
              <w:jc w:val="center"/>
              <w:rPr>
                <w:rFonts w:ascii="Arial" w:hAnsi="Arial" w:cs="Arial"/>
                <w:color w:val="1F4E79" w:themeColor="accent1" w:themeShade="80"/>
              </w:rPr>
            </w:pPr>
          </w:p>
        </w:tc>
      </w:tr>
      <w:tr w:rsidR="00780C51" w:rsidRPr="00DC75BE" w14:paraId="32D5DD14" w14:textId="77777777" w:rsidTr="00D90BAF">
        <w:tc>
          <w:tcPr>
            <w:tcW w:w="2747" w:type="dxa"/>
          </w:tcPr>
          <w:p w14:paraId="72EBCCD5"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Rachel Rowe</w:t>
            </w:r>
          </w:p>
        </w:tc>
        <w:tc>
          <w:tcPr>
            <w:tcW w:w="2838" w:type="dxa"/>
          </w:tcPr>
          <w:p w14:paraId="5B1E0808"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Skagit County</w:t>
            </w:r>
          </w:p>
        </w:tc>
        <w:tc>
          <w:tcPr>
            <w:tcW w:w="3765" w:type="dxa"/>
          </w:tcPr>
          <w:p w14:paraId="2A26F01A" w14:textId="77777777" w:rsidR="00780C51" w:rsidRPr="00DC75BE" w:rsidRDefault="00B37C07" w:rsidP="00D90BAF">
            <w:pPr>
              <w:jc w:val="center"/>
              <w:rPr>
                <w:rFonts w:ascii="Arial" w:hAnsi="Arial" w:cs="Arial"/>
                <w:color w:val="1F4E79" w:themeColor="accent1" w:themeShade="80"/>
              </w:rPr>
            </w:pPr>
            <w:hyperlink r:id="rId10" w:history="1">
              <w:r w:rsidR="00780C51" w:rsidRPr="00DC75BE">
                <w:rPr>
                  <w:rStyle w:val="Hyperlink"/>
                  <w:rFonts w:ascii="Arial" w:hAnsi="Arial" w:cs="Arial"/>
                  <w:color w:val="1F4E79" w:themeColor="accent1" w:themeShade="80"/>
                </w:rPr>
                <w:t>rrowe@co.skagit.wa.us</w:t>
              </w:r>
            </w:hyperlink>
          </w:p>
        </w:tc>
      </w:tr>
      <w:tr w:rsidR="00780C51" w:rsidRPr="00DC75BE" w14:paraId="4F3699B4" w14:textId="77777777" w:rsidTr="00D90BAF">
        <w:tc>
          <w:tcPr>
            <w:tcW w:w="2747" w:type="dxa"/>
          </w:tcPr>
          <w:p w14:paraId="518F149E"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Trudy Cofchin</w:t>
            </w:r>
          </w:p>
        </w:tc>
        <w:tc>
          <w:tcPr>
            <w:tcW w:w="2838" w:type="dxa"/>
          </w:tcPr>
          <w:p w14:paraId="7916CEC2"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LeMay Collection</w:t>
            </w:r>
          </w:p>
        </w:tc>
        <w:tc>
          <w:tcPr>
            <w:tcW w:w="3765" w:type="dxa"/>
          </w:tcPr>
          <w:p w14:paraId="7B06CEC0" w14:textId="77777777" w:rsidR="00780C51" w:rsidRPr="00DC75BE" w:rsidRDefault="00B37C07" w:rsidP="00D90BAF">
            <w:pPr>
              <w:jc w:val="center"/>
              <w:rPr>
                <w:rFonts w:ascii="Arial" w:hAnsi="Arial" w:cs="Arial"/>
                <w:color w:val="1F4E79" w:themeColor="accent1" w:themeShade="80"/>
              </w:rPr>
            </w:pPr>
            <w:hyperlink r:id="rId11" w:history="1">
              <w:r w:rsidR="00780C51" w:rsidRPr="00DC75BE">
                <w:rPr>
                  <w:rStyle w:val="Hyperlink"/>
                  <w:rFonts w:ascii="Arial" w:hAnsi="Arial" w:cs="Arial"/>
                  <w:color w:val="1F4E79" w:themeColor="accent1" w:themeShade="80"/>
                </w:rPr>
                <w:t>trudy@lemaymarymount.org</w:t>
              </w:r>
            </w:hyperlink>
          </w:p>
        </w:tc>
      </w:tr>
      <w:tr w:rsidR="00780C51" w:rsidRPr="00DC75BE" w14:paraId="599BE008" w14:textId="77777777" w:rsidTr="00D90BAF">
        <w:tc>
          <w:tcPr>
            <w:tcW w:w="2747" w:type="dxa"/>
          </w:tcPr>
          <w:p w14:paraId="7CB37544"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John Schott</w:t>
            </w:r>
          </w:p>
        </w:tc>
        <w:tc>
          <w:tcPr>
            <w:tcW w:w="2838" w:type="dxa"/>
          </w:tcPr>
          <w:p w14:paraId="0BA69A9B"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Charge Point</w:t>
            </w:r>
          </w:p>
        </w:tc>
        <w:tc>
          <w:tcPr>
            <w:tcW w:w="3765" w:type="dxa"/>
          </w:tcPr>
          <w:p w14:paraId="1185EB2D" w14:textId="77777777" w:rsidR="00780C51" w:rsidRPr="00DC75BE" w:rsidRDefault="00B37C07" w:rsidP="00D90BAF">
            <w:pPr>
              <w:jc w:val="center"/>
              <w:rPr>
                <w:rFonts w:ascii="Arial" w:hAnsi="Arial" w:cs="Arial"/>
                <w:color w:val="1F4E79" w:themeColor="accent1" w:themeShade="80"/>
              </w:rPr>
            </w:pPr>
            <w:hyperlink r:id="rId12" w:history="1">
              <w:r w:rsidR="00780C51" w:rsidRPr="00DC75BE">
                <w:rPr>
                  <w:rStyle w:val="Hyperlink"/>
                  <w:rFonts w:ascii="Arial" w:hAnsi="Arial" w:cs="Arial"/>
                  <w:color w:val="1F4E79" w:themeColor="accent1" w:themeShade="80"/>
                </w:rPr>
                <w:t>John.schott@chargepoint.com</w:t>
              </w:r>
            </w:hyperlink>
          </w:p>
        </w:tc>
      </w:tr>
      <w:tr w:rsidR="00780C51" w:rsidRPr="00DC75BE" w14:paraId="06F977DF" w14:textId="77777777" w:rsidTr="00D90BAF">
        <w:tc>
          <w:tcPr>
            <w:tcW w:w="2747" w:type="dxa"/>
          </w:tcPr>
          <w:p w14:paraId="4BEE8612"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Kelly Desy</w:t>
            </w:r>
          </w:p>
        </w:tc>
        <w:tc>
          <w:tcPr>
            <w:tcW w:w="2838" w:type="dxa"/>
          </w:tcPr>
          <w:p w14:paraId="189A4159"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Charge Point</w:t>
            </w:r>
          </w:p>
        </w:tc>
        <w:tc>
          <w:tcPr>
            <w:tcW w:w="3765" w:type="dxa"/>
          </w:tcPr>
          <w:p w14:paraId="70C9C0E1" w14:textId="77777777" w:rsidR="00780C51" w:rsidRPr="00DC75BE" w:rsidRDefault="00B37C07" w:rsidP="00D90BAF">
            <w:pPr>
              <w:jc w:val="center"/>
              <w:rPr>
                <w:rFonts w:ascii="Arial" w:hAnsi="Arial" w:cs="Arial"/>
                <w:color w:val="1F4E79" w:themeColor="accent1" w:themeShade="80"/>
              </w:rPr>
            </w:pPr>
            <w:hyperlink r:id="rId13" w:history="1">
              <w:r w:rsidR="00780C51" w:rsidRPr="00DC75BE">
                <w:rPr>
                  <w:rStyle w:val="Hyperlink"/>
                  <w:rFonts w:ascii="Arial" w:hAnsi="Arial" w:cs="Arial"/>
                  <w:color w:val="1F4E79" w:themeColor="accent1" w:themeShade="80"/>
                </w:rPr>
                <w:t>Kelly.desy@chargepoint.com</w:t>
              </w:r>
            </w:hyperlink>
          </w:p>
        </w:tc>
      </w:tr>
      <w:tr w:rsidR="00780C51" w:rsidRPr="00DC75BE" w14:paraId="3FD8FA7D" w14:textId="77777777" w:rsidTr="00D90BAF">
        <w:tc>
          <w:tcPr>
            <w:tcW w:w="2747" w:type="dxa"/>
          </w:tcPr>
          <w:p w14:paraId="2B784A81"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Matt Egan</w:t>
            </w:r>
          </w:p>
        </w:tc>
        <w:tc>
          <w:tcPr>
            <w:tcW w:w="2838" w:type="dxa"/>
          </w:tcPr>
          <w:p w14:paraId="40CEFBF3"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Charge Point</w:t>
            </w:r>
          </w:p>
        </w:tc>
        <w:tc>
          <w:tcPr>
            <w:tcW w:w="3765" w:type="dxa"/>
          </w:tcPr>
          <w:p w14:paraId="5FA45EE2" w14:textId="77777777" w:rsidR="00780C51" w:rsidRPr="00DC75BE" w:rsidRDefault="00B37C07" w:rsidP="00D90BAF">
            <w:pPr>
              <w:jc w:val="center"/>
              <w:rPr>
                <w:rFonts w:ascii="Arial" w:hAnsi="Arial" w:cs="Arial"/>
                <w:color w:val="1F4E79" w:themeColor="accent1" w:themeShade="80"/>
              </w:rPr>
            </w:pPr>
            <w:hyperlink r:id="rId14" w:history="1">
              <w:r w:rsidR="00780C51" w:rsidRPr="00DC75BE">
                <w:rPr>
                  <w:rStyle w:val="Hyperlink"/>
                  <w:rFonts w:ascii="Arial" w:hAnsi="Arial" w:cs="Arial"/>
                  <w:color w:val="1F4E79" w:themeColor="accent1" w:themeShade="80"/>
                </w:rPr>
                <w:t>Matthew.egan.@chargepoint.com</w:t>
              </w:r>
            </w:hyperlink>
          </w:p>
        </w:tc>
      </w:tr>
      <w:tr w:rsidR="00780C51" w:rsidRPr="00DC75BE" w14:paraId="2DAE160B" w14:textId="77777777" w:rsidTr="00D90BAF">
        <w:tc>
          <w:tcPr>
            <w:tcW w:w="2747" w:type="dxa"/>
          </w:tcPr>
          <w:p w14:paraId="020E66F4"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Dan Beventson</w:t>
            </w:r>
          </w:p>
        </w:tc>
        <w:tc>
          <w:tcPr>
            <w:tcW w:w="2838" w:type="dxa"/>
          </w:tcPr>
          <w:p w14:paraId="7D905470"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Skagit County</w:t>
            </w:r>
          </w:p>
        </w:tc>
        <w:tc>
          <w:tcPr>
            <w:tcW w:w="3765" w:type="dxa"/>
          </w:tcPr>
          <w:p w14:paraId="25043691" w14:textId="77777777" w:rsidR="00780C51" w:rsidRPr="00DC75BE" w:rsidRDefault="00B37C07" w:rsidP="00D90BAF">
            <w:pPr>
              <w:jc w:val="center"/>
              <w:rPr>
                <w:rFonts w:ascii="Arial" w:hAnsi="Arial" w:cs="Arial"/>
                <w:color w:val="1F4E79" w:themeColor="accent1" w:themeShade="80"/>
              </w:rPr>
            </w:pPr>
            <w:hyperlink r:id="rId15" w:history="1">
              <w:r w:rsidR="00780C51" w:rsidRPr="00DC75BE">
                <w:rPr>
                  <w:rStyle w:val="Hyperlink"/>
                  <w:rFonts w:ascii="Arial" w:hAnsi="Arial" w:cs="Arial"/>
                  <w:color w:val="1F4E79" w:themeColor="accent1" w:themeShade="80"/>
                </w:rPr>
                <w:t>danb@co.skagit.wa.us</w:t>
              </w:r>
            </w:hyperlink>
          </w:p>
        </w:tc>
      </w:tr>
      <w:tr w:rsidR="00780C51" w:rsidRPr="00DC75BE" w14:paraId="1D9EF83F" w14:textId="77777777" w:rsidTr="00D90BAF">
        <w:tc>
          <w:tcPr>
            <w:tcW w:w="2747" w:type="dxa"/>
          </w:tcPr>
          <w:p w14:paraId="0A9074C6"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Forrest Jones</w:t>
            </w:r>
          </w:p>
        </w:tc>
        <w:tc>
          <w:tcPr>
            <w:tcW w:w="2838" w:type="dxa"/>
          </w:tcPr>
          <w:p w14:paraId="62DC7C10"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Skagit County</w:t>
            </w:r>
          </w:p>
        </w:tc>
        <w:tc>
          <w:tcPr>
            <w:tcW w:w="3765" w:type="dxa"/>
          </w:tcPr>
          <w:p w14:paraId="3F904B21" w14:textId="77777777" w:rsidR="00780C51" w:rsidRPr="00DC75BE" w:rsidRDefault="00B37C07" w:rsidP="00D90BAF">
            <w:pPr>
              <w:jc w:val="center"/>
              <w:rPr>
                <w:rFonts w:ascii="Arial" w:hAnsi="Arial" w:cs="Arial"/>
                <w:color w:val="1F4E79" w:themeColor="accent1" w:themeShade="80"/>
              </w:rPr>
            </w:pPr>
            <w:hyperlink r:id="rId16" w:history="1">
              <w:r w:rsidR="00780C51" w:rsidRPr="00DC75BE">
                <w:rPr>
                  <w:rStyle w:val="Hyperlink"/>
                  <w:rFonts w:ascii="Arial" w:hAnsi="Arial" w:cs="Arial"/>
                  <w:color w:val="1F4E79" w:themeColor="accent1" w:themeShade="80"/>
                </w:rPr>
                <w:t>Forrestj@co.skagit.wa.us</w:t>
              </w:r>
            </w:hyperlink>
          </w:p>
        </w:tc>
      </w:tr>
      <w:tr w:rsidR="00780C51" w:rsidRPr="00DC75BE" w14:paraId="0539AE24" w14:textId="77777777" w:rsidTr="00D90BAF">
        <w:tc>
          <w:tcPr>
            <w:tcW w:w="2747" w:type="dxa"/>
          </w:tcPr>
          <w:p w14:paraId="76A658C2"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Elisabeth Eddy</w:t>
            </w:r>
          </w:p>
        </w:tc>
        <w:tc>
          <w:tcPr>
            <w:tcW w:w="2838" w:type="dxa"/>
          </w:tcPr>
          <w:p w14:paraId="66A7FC71"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LaMy at Marymount</w:t>
            </w:r>
          </w:p>
        </w:tc>
        <w:tc>
          <w:tcPr>
            <w:tcW w:w="3765" w:type="dxa"/>
          </w:tcPr>
          <w:p w14:paraId="558C5F87" w14:textId="77777777" w:rsidR="00780C51" w:rsidRPr="00DC75BE" w:rsidRDefault="00B37C07" w:rsidP="00D90BAF">
            <w:pPr>
              <w:jc w:val="center"/>
              <w:rPr>
                <w:rFonts w:ascii="Arial" w:hAnsi="Arial" w:cs="Arial"/>
                <w:color w:val="1F4E79" w:themeColor="accent1" w:themeShade="80"/>
              </w:rPr>
            </w:pPr>
            <w:hyperlink r:id="rId17" w:history="1">
              <w:r w:rsidR="00780C51" w:rsidRPr="00DC75BE">
                <w:rPr>
                  <w:rStyle w:val="Hyperlink"/>
                  <w:rFonts w:ascii="Arial" w:hAnsi="Arial" w:cs="Arial"/>
                  <w:color w:val="1F4E79" w:themeColor="accent1" w:themeShade="80"/>
                </w:rPr>
                <w:t>Bunnye50@msn.com</w:t>
              </w:r>
            </w:hyperlink>
          </w:p>
        </w:tc>
      </w:tr>
      <w:tr w:rsidR="00780C51" w:rsidRPr="00DC75BE" w14:paraId="5E4F18CC" w14:textId="77777777" w:rsidTr="00D90BAF">
        <w:tc>
          <w:tcPr>
            <w:tcW w:w="2747" w:type="dxa"/>
          </w:tcPr>
          <w:p w14:paraId="10DA445E"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Jeff Miller</w:t>
            </w:r>
          </w:p>
        </w:tc>
        <w:tc>
          <w:tcPr>
            <w:tcW w:w="2838" w:type="dxa"/>
          </w:tcPr>
          <w:p w14:paraId="207D80D9"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Kerbspace.com</w:t>
            </w:r>
          </w:p>
        </w:tc>
        <w:tc>
          <w:tcPr>
            <w:tcW w:w="3765" w:type="dxa"/>
          </w:tcPr>
          <w:p w14:paraId="09C4CF3D" w14:textId="77777777" w:rsidR="00780C51" w:rsidRPr="00DC75BE" w:rsidRDefault="00B37C07" w:rsidP="00D90BAF">
            <w:pPr>
              <w:jc w:val="center"/>
              <w:rPr>
                <w:rFonts w:ascii="Arial" w:hAnsi="Arial" w:cs="Arial"/>
                <w:color w:val="1F4E79" w:themeColor="accent1" w:themeShade="80"/>
              </w:rPr>
            </w:pPr>
            <w:hyperlink r:id="rId18" w:history="1">
              <w:r w:rsidR="00780C51" w:rsidRPr="00DC75BE">
                <w:rPr>
                  <w:rStyle w:val="Hyperlink"/>
                  <w:rFonts w:ascii="Arial" w:hAnsi="Arial" w:cs="Arial"/>
                  <w:color w:val="1F4E79" w:themeColor="accent1" w:themeShade="80"/>
                </w:rPr>
                <w:t>MiChargeCommunity@gmail.com</w:t>
              </w:r>
            </w:hyperlink>
          </w:p>
        </w:tc>
      </w:tr>
      <w:tr w:rsidR="00780C51" w:rsidRPr="00DC75BE" w14:paraId="3EC29383" w14:textId="77777777" w:rsidTr="00D90BAF">
        <w:tc>
          <w:tcPr>
            <w:tcW w:w="2747" w:type="dxa"/>
          </w:tcPr>
          <w:p w14:paraId="1B772872"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Michael Mann</w:t>
            </w:r>
          </w:p>
        </w:tc>
        <w:tc>
          <w:tcPr>
            <w:tcW w:w="2838" w:type="dxa"/>
          </w:tcPr>
          <w:p w14:paraId="45576B31"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Cyan Strategies</w:t>
            </w:r>
          </w:p>
        </w:tc>
        <w:tc>
          <w:tcPr>
            <w:tcW w:w="3765" w:type="dxa"/>
          </w:tcPr>
          <w:p w14:paraId="45B7FF1B" w14:textId="77777777" w:rsidR="00780C51" w:rsidRPr="00DC75BE" w:rsidRDefault="00B37C07" w:rsidP="00D90BAF">
            <w:pPr>
              <w:jc w:val="center"/>
              <w:rPr>
                <w:rFonts w:ascii="Arial" w:hAnsi="Arial" w:cs="Arial"/>
                <w:color w:val="1F4E79" w:themeColor="accent1" w:themeShade="80"/>
              </w:rPr>
            </w:pPr>
            <w:hyperlink r:id="rId19" w:history="1">
              <w:r w:rsidR="00780C51" w:rsidRPr="00DC75BE">
                <w:rPr>
                  <w:rStyle w:val="Hyperlink"/>
                  <w:rFonts w:ascii="Arial" w:hAnsi="Arial" w:cs="Arial"/>
                  <w:color w:val="1F4E79" w:themeColor="accent1" w:themeShade="80"/>
                </w:rPr>
                <w:t>Michael@cyanstrategies.com</w:t>
              </w:r>
            </w:hyperlink>
          </w:p>
        </w:tc>
      </w:tr>
      <w:tr w:rsidR="00780C51" w:rsidRPr="00DC75BE" w14:paraId="5AFAA4B9" w14:textId="77777777" w:rsidTr="00D90BAF">
        <w:tc>
          <w:tcPr>
            <w:tcW w:w="2747" w:type="dxa"/>
          </w:tcPr>
          <w:p w14:paraId="49A1E739"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lastRenderedPageBreak/>
              <w:t>Erin Wilson</w:t>
            </w:r>
          </w:p>
        </w:tc>
        <w:tc>
          <w:tcPr>
            <w:tcW w:w="2838" w:type="dxa"/>
          </w:tcPr>
          <w:p w14:paraId="63305F5B"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Wahkiakum PUD</w:t>
            </w:r>
          </w:p>
        </w:tc>
        <w:tc>
          <w:tcPr>
            <w:tcW w:w="3765" w:type="dxa"/>
          </w:tcPr>
          <w:p w14:paraId="51C7043E" w14:textId="77777777" w:rsidR="00780C51" w:rsidRPr="00DC75BE" w:rsidRDefault="00B37C07" w:rsidP="00D90BAF">
            <w:pPr>
              <w:jc w:val="center"/>
              <w:rPr>
                <w:rFonts w:ascii="Arial" w:hAnsi="Arial" w:cs="Arial"/>
                <w:color w:val="1F4E79" w:themeColor="accent1" w:themeShade="80"/>
              </w:rPr>
            </w:pPr>
            <w:hyperlink r:id="rId20" w:history="1">
              <w:r w:rsidR="00780C51" w:rsidRPr="00DC75BE">
                <w:rPr>
                  <w:rStyle w:val="Hyperlink"/>
                  <w:rFonts w:ascii="Arial" w:hAnsi="Arial" w:cs="Arial"/>
                  <w:color w:val="1F4E79" w:themeColor="accent1" w:themeShade="80"/>
                </w:rPr>
                <w:t>ewilson@wahkiakumpud.org</w:t>
              </w:r>
            </w:hyperlink>
          </w:p>
        </w:tc>
      </w:tr>
      <w:tr w:rsidR="00780C51" w:rsidRPr="00DC75BE" w14:paraId="7202ED81" w14:textId="77777777" w:rsidTr="00D90BAF">
        <w:tc>
          <w:tcPr>
            <w:tcW w:w="2747" w:type="dxa"/>
          </w:tcPr>
          <w:p w14:paraId="5C8E441E"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Eric Smith</w:t>
            </w:r>
          </w:p>
        </w:tc>
        <w:tc>
          <w:tcPr>
            <w:tcW w:w="2838" w:type="dxa"/>
          </w:tcPr>
          <w:p w14:paraId="58D816DA"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SemaConnect, Inc.</w:t>
            </w:r>
          </w:p>
        </w:tc>
        <w:tc>
          <w:tcPr>
            <w:tcW w:w="3765" w:type="dxa"/>
          </w:tcPr>
          <w:p w14:paraId="74F18EDF"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Eric.smith@semaconnect.com</w:t>
            </w:r>
          </w:p>
        </w:tc>
      </w:tr>
      <w:tr w:rsidR="00780C51" w:rsidRPr="00DC75BE" w14:paraId="73B17550" w14:textId="77777777" w:rsidTr="00D90BAF">
        <w:tc>
          <w:tcPr>
            <w:tcW w:w="2747" w:type="dxa"/>
          </w:tcPr>
          <w:p w14:paraId="755E6EA9" w14:textId="77777777" w:rsidR="00780C51" w:rsidRPr="00DC75BE" w:rsidRDefault="00780C51" w:rsidP="00D90BAF">
            <w:pPr>
              <w:jc w:val="center"/>
              <w:rPr>
                <w:rFonts w:ascii="Arial" w:hAnsi="Arial" w:cs="Arial"/>
                <w:color w:val="1F4E79" w:themeColor="accent1" w:themeShade="80"/>
              </w:rPr>
            </w:pPr>
            <w:r>
              <w:rPr>
                <w:rFonts w:ascii="Arial" w:hAnsi="Arial" w:cs="Arial"/>
                <w:color w:val="1F4E79" w:themeColor="accent1" w:themeShade="80"/>
              </w:rPr>
              <w:t>Mike Usen</w:t>
            </w:r>
          </w:p>
        </w:tc>
        <w:tc>
          <w:tcPr>
            <w:tcW w:w="2838" w:type="dxa"/>
          </w:tcPr>
          <w:p w14:paraId="42C852E3" w14:textId="77777777" w:rsidR="00780C51" w:rsidRPr="00DC75BE" w:rsidRDefault="00780C51" w:rsidP="00D90BAF">
            <w:pPr>
              <w:jc w:val="center"/>
              <w:rPr>
                <w:rFonts w:ascii="Arial" w:hAnsi="Arial" w:cs="Arial"/>
                <w:color w:val="1F4E79" w:themeColor="accent1" w:themeShade="80"/>
              </w:rPr>
            </w:pPr>
            <w:r>
              <w:rPr>
                <w:rFonts w:ascii="Arial" w:hAnsi="Arial" w:cs="Arial"/>
                <w:color w:val="1F4E79" w:themeColor="accent1" w:themeShade="80"/>
              </w:rPr>
              <w:t>DKS Associates</w:t>
            </w:r>
          </w:p>
        </w:tc>
        <w:tc>
          <w:tcPr>
            <w:tcW w:w="3765" w:type="dxa"/>
          </w:tcPr>
          <w:p w14:paraId="1A20B44C" w14:textId="77777777" w:rsidR="00780C51" w:rsidRPr="00DC75BE" w:rsidRDefault="00780C51" w:rsidP="00D90BAF">
            <w:pPr>
              <w:jc w:val="center"/>
              <w:rPr>
                <w:rFonts w:ascii="Arial" w:hAnsi="Arial" w:cs="Arial"/>
                <w:color w:val="1F4E79" w:themeColor="accent1" w:themeShade="80"/>
              </w:rPr>
            </w:pPr>
            <w:r>
              <w:rPr>
                <w:rFonts w:ascii="Arial" w:hAnsi="Arial" w:cs="Arial"/>
                <w:color w:val="1F4E79" w:themeColor="accent1" w:themeShade="80"/>
              </w:rPr>
              <w:t>mike.usen@dksassociates.com</w:t>
            </w:r>
          </w:p>
        </w:tc>
      </w:tr>
      <w:tr w:rsidR="00780C51" w:rsidRPr="00DC75BE" w14:paraId="6A682801" w14:textId="77777777" w:rsidTr="00D90BAF">
        <w:tc>
          <w:tcPr>
            <w:tcW w:w="2747" w:type="dxa"/>
          </w:tcPr>
          <w:p w14:paraId="79EE769E"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Forrest Watkins</w:t>
            </w:r>
          </w:p>
        </w:tc>
        <w:tc>
          <w:tcPr>
            <w:tcW w:w="2838" w:type="dxa"/>
          </w:tcPr>
          <w:p w14:paraId="4C4995A4"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Dept. of Commerce</w:t>
            </w:r>
          </w:p>
        </w:tc>
        <w:tc>
          <w:tcPr>
            <w:tcW w:w="3765" w:type="dxa"/>
          </w:tcPr>
          <w:p w14:paraId="3DFE935D"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Forrest.Watkins@commerce.wa.gov</w:t>
            </w:r>
          </w:p>
        </w:tc>
      </w:tr>
      <w:tr w:rsidR="00780C51" w:rsidRPr="00DC75BE" w14:paraId="54B3A1E3" w14:textId="77777777" w:rsidTr="00D90BAF">
        <w:tc>
          <w:tcPr>
            <w:tcW w:w="2747" w:type="dxa"/>
          </w:tcPr>
          <w:p w14:paraId="38D3AAAC"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Bob Kirchmeier</w:t>
            </w:r>
          </w:p>
        </w:tc>
        <w:tc>
          <w:tcPr>
            <w:tcW w:w="2838" w:type="dxa"/>
          </w:tcPr>
          <w:p w14:paraId="2B474913"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Dept. of Commerce</w:t>
            </w:r>
          </w:p>
        </w:tc>
        <w:tc>
          <w:tcPr>
            <w:tcW w:w="3765" w:type="dxa"/>
          </w:tcPr>
          <w:p w14:paraId="68CB2768" w14:textId="77777777" w:rsidR="00780C51" w:rsidRPr="00DC75BE" w:rsidRDefault="00B37C07" w:rsidP="00D90BAF">
            <w:pPr>
              <w:jc w:val="center"/>
              <w:rPr>
                <w:rFonts w:ascii="Arial" w:hAnsi="Arial" w:cs="Arial"/>
                <w:color w:val="1F4E79" w:themeColor="accent1" w:themeShade="80"/>
              </w:rPr>
            </w:pPr>
            <w:hyperlink r:id="rId21" w:history="1">
              <w:r w:rsidR="00780C51" w:rsidRPr="00DC75BE">
                <w:rPr>
                  <w:rStyle w:val="Hyperlink"/>
                  <w:rFonts w:ascii="Arial" w:hAnsi="Arial" w:cs="Arial"/>
                  <w:color w:val="1F4E79" w:themeColor="accent1" w:themeShade="80"/>
                </w:rPr>
                <w:t>Bob.Kirchmeier@commerce.wa.gov</w:t>
              </w:r>
            </w:hyperlink>
          </w:p>
        </w:tc>
      </w:tr>
      <w:tr w:rsidR="00780C51" w:rsidRPr="00DC75BE" w14:paraId="187D1E4D" w14:textId="77777777" w:rsidTr="00D90BAF">
        <w:tc>
          <w:tcPr>
            <w:tcW w:w="2747" w:type="dxa"/>
          </w:tcPr>
          <w:p w14:paraId="0A566AE4"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Hans Berg</w:t>
            </w:r>
          </w:p>
        </w:tc>
        <w:tc>
          <w:tcPr>
            <w:tcW w:w="2838" w:type="dxa"/>
          </w:tcPr>
          <w:p w14:paraId="304F761C"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Dept. of Commerce</w:t>
            </w:r>
          </w:p>
        </w:tc>
        <w:tc>
          <w:tcPr>
            <w:tcW w:w="3765" w:type="dxa"/>
          </w:tcPr>
          <w:p w14:paraId="7372DC5F" w14:textId="77777777" w:rsidR="00780C51" w:rsidRPr="00DC75BE" w:rsidRDefault="00780C51" w:rsidP="00D90BAF">
            <w:pPr>
              <w:jc w:val="center"/>
              <w:rPr>
                <w:rFonts w:ascii="Arial" w:hAnsi="Arial" w:cs="Arial"/>
                <w:color w:val="1F4E79" w:themeColor="accent1" w:themeShade="80"/>
              </w:rPr>
            </w:pPr>
            <w:r w:rsidRPr="00DC75BE">
              <w:rPr>
                <w:rFonts w:ascii="Arial" w:hAnsi="Arial" w:cs="Arial"/>
                <w:color w:val="1F4E79" w:themeColor="accent1" w:themeShade="80"/>
              </w:rPr>
              <w:t>Hans.Berg@commerce.wa.gov</w:t>
            </w:r>
          </w:p>
        </w:tc>
      </w:tr>
    </w:tbl>
    <w:p w14:paraId="13003822" w14:textId="77777777" w:rsidR="00780C51" w:rsidRPr="00DC75BE" w:rsidRDefault="00780C51" w:rsidP="00780C51">
      <w:pPr>
        <w:rPr>
          <w:rFonts w:ascii="Arial" w:hAnsi="Arial" w:cs="Arial"/>
          <w:color w:val="1F4E79" w:themeColor="accent1" w:themeShade="80"/>
        </w:rPr>
      </w:pPr>
    </w:p>
    <w:p w14:paraId="0A7620C2" w14:textId="77777777" w:rsidR="00780C51" w:rsidRPr="00DC75BE" w:rsidRDefault="00780C51" w:rsidP="00780C51">
      <w:pPr>
        <w:rPr>
          <w:rFonts w:ascii="Arial" w:hAnsi="Arial" w:cs="Arial"/>
          <w:color w:val="1F4E79" w:themeColor="accent1" w:themeShade="80"/>
        </w:rPr>
      </w:pPr>
    </w:p>
    <w:p w14:paraId="70D372FD" w14:textId="77777777" w:rsidR="00780C51" w:rsidRPr="006C1A86" w:rsidRDefault="00780C51" w:rsidP="00780C51">
      <w:pPr>
        <w:pStyle w:val="ListParagraph"/>
        <w:numPr>
          <w:ilvl w:val="0"/>
          <w:numId w:val="4"/>
        </w:numPr>
        <w:contextualSpacing w:val="0"/>
        <w:rPr>
          <w:rFonts w:ascii="Arial" w:hAnsi="Arial" w:cs="Arial"/>
          <w:color w:val="2F5496" w:themeColor="accent5" w:themeShade="BF"/>
        </w:rPr>
      </w:pPr>
      <w:r w:rsidRPr="006C1A86">
        <w:rPr>
          <w:rFonts w:ascii="Arial" w:hAnsi="Arial" w:cs="Arial"/>
          <w:color w:val="2F5496" w:themeColor="accent5" w:themeShade="BF"/>
        </w:rPr>
        <w:t>I am the Real Estate Manager for Fred Meyer, QFC and other divisions of Kroger.  Question, would our stores qualify for potential receipt of vehicle charging grants?  If so, is there a particular group we should contact (i.e., Electrify America, Blink, EVgo, etc.)? </w:t>
      </w:r>
    </w:p>
    <w:p w14:paraId="7AEF3CCE" w14:textId="77777777" w:rsidR="00780C51" w:rsidRPr="006C1A86" w:rsidRDefault="00780C51" w:rsidP="00780C51">
      <w:pPr>
        <w:rPr>
          <w:rFonts w:ascii="Arial" w:hAnsi="Arial" w:cs="Arial"/>
          <w:color w:val="2F5496" w:themeColor="accent5" w:themeShade="BF"/>
        </w:rPr>
      </w:pPr>
      <w:r w:rsidRPr="006C1A86">
        <w:rPr>
          <w:rFonts w:ascii="Arial" w:hAnsi="Arial" w:cs="Arial"/>
          <w:color w:val="2F5496" w:themeColor="accent5" w:themeShade="BF"/>
        </w:rPr>
        <w:t>Please see RFA SECTION 1.3 MINIMUM QUALIFICATIONS – businesses are not among the types of primary eligible applicants described. Businesses and other entities that are not primary eligible applicants may partner with eligible applicants to apply for an award. COMMERCE cannot recommend any particular group for partnership purposes.</w:t>
      </w:r>
    </w:p>
    <w:p w14:paraId="46FCB66D"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6C1A86">
        <w:rPr>
          <w:rFonts w:ascii="Arial" w:hAnsi="Arial" w:cs="Arial"/>
          <w:color w:val="2F5496" w:themeColor="accent5" w:themeShade="BF"/>
        </w:rPr>
        <w:t>Wh</w:t>
      </w:r>
      <w:r w:rsidRPr="001902C9">
        <w:rPr>
          <w:rFonts w:ascii="Arial" w:hAnsi="Arial" w:cs="Arial"/>
          <w:color w:val="2F5496" w:themeColor="accent5" w:themeShade="BF"/>
        </w:rPr>
        <w:t>at is the procurement type the city must use apparent low for the award?</w:t>
      </w:r>
    </w:p>
    <w:p w14:paraId="67EF5CB8"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Successful applicants must follow all applicable state and/or local laws governing procurements for publicly-funded projects. Successful applicants that receive federal funding must additionally follow all applicable procurement requirements for federally-funded projects. Applicants may also find it helpful to review the Service Contract Format including General Terms and Conditions found in EXHIBIT B of the RFA.</w:t>
      </w:r>
    </w:p>
    <w:p w14:paraId="64C4F8FA"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We had planned to charge an hourly fee for vehicles charging at these 6 stations.  If we charge a fee for these services, are we still eligible to apply for the ETS grant?</w:t>
      </w:r>
    </w:p>
    <w:p w14:paraId="73906B81"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Please see RFA SECTION 1.3 MINIMUM QUALIFICATIONS – projects may charge a fee for charging services. If there is a fee to charge, then credit, debit, and prepaid cards must be accepted via an onsite card reader. Any other form of payment is permitted in addition to this minimum. Multiple EVSE at one location can share a card reader.</w:t>
      </w:r>
    </w:p>
    <w:p w14:paraId="06792828"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Are public transit agencies eligible to submit a project to the CEF?</w:t>
      </w:r>
    </w:p>
    <w:p w14:paraId="71063668"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Please see RFA SECTION 1.3 MINIMUM QUALIFICATIONS – transportation authorities are among the types of primary eligible applicants described for the ETS program.</w:t>
      </w:r>
    </w:p>
    <w:p w14:paraId="1662369C"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Does this program include fuel cell electric vehicles and infrastructure?</w:t>
      </w:r>
    </w:p>
    <w:p w14:paraId="50D5B7D7"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Please see RFA SECTION 1.1 PURPOSE AND BACKGROUND - This Program provides grants to Washington local governments and retail electric utilities for electric vehicle supply infrastructure (EVSE, as defined in RFA SECTION 1.7 DEFINITIONS) and related development costs. A list of eligible costs for grant funds and match can be found in SECTION 1.2 OBJECTIVES AND SCOPE OF WORK. ETS monies are not intended for rolling stock nor for hydrogen fueling infrastructure.</w:t>
      </w:r>
    </w:p>
    <w:p w14:paraId="31FAA3A6"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lastRenderedPageBreak/>
        <w:t>I've read through the RFA and it appears this only covers EVSE charging applications (which seems to be limited to passenger cars). Would you consider transit bus charging infrastructure to be eligible under this program?</w:t>
      </w:r>
    </w:p>
    <w:p w14:paraId="7764EA66" w14:textId="77777777" w:rsidR="00780C51" w:rsidRPr="001902C9" w:rsidRDefault="00780C51" w:rsidP="00780C51">
      <w:pPr>
        <w:tabs>
          <w:tab w:val="left" w:pos="1080"/>
        </w:tabs>
        <w:spacing w:line="240" w:lineRule="auto"/>
        <w:jc w:val="both"/>
        <w:rPr>
          <w:rFonts w:ascii="Arial" w:hAnsi="Arial" w:cs="Arial"/>
          <w:b/>
          <w:color w:val="2F5496" w:themeColor="accent5" w:themeShade="BF"/>
        </w:rPr>
      </w:pPr>
      <w:r w:rsidRPr="001902C9">
        <w:rPr>
          <w:rFonts w:ascii="Arial" w:hAnsi="Arial" w:cs="Arial"/>
          <w:color w:val="2F5496" w:themeColor="accent5" w:themeShade="BF"/>
        </w:rPr>
        <w:t>EVSE, as defined in RFA SECTION 1.7 DEFINITIONS, is not limited to infrastructure serving passenger vehicles. Transit bus charging infrastructure would be eligible, provided it aligns with minimum project and equipment qualifications (or demonstrates no EVSE is available that can serve the purpose of the project while meeting certain requirements, as applicable), as described in SECTION 1.3 MINIMUM QUALIFICATIONS.</w:t>
      </w:r>
    </w:p>
    <w:p w14:paraId="758135C0"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We are reaching out to determine if Washington State Ferries is an eligible applicant for the ETS program that was just announced.  We are not sure if we meet the criteria of a "local government", as we are a division of WSDOT, or if we need to partner on this one.</w:t>
      </w:r>
    </w:p>
    <w:p w14:paraId="78F7F9C3"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Washington State Ferries, being a division of a state agency, are not considered to be a local government for the purposes of this award. State agencies and divisions of state agencies would need to partner with a primary eligible applicants as described in RFA SECTION 1.3 MINIMUM QUALIFICATIONS to submit an application under this award.</w:t>
      </w:r>
    </w:p>
    <w:p w14:paraId="5C35A726"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Does it allow for the purchase of used chargers?</w:t>
      </w:r>
    </w:p>
    <w:p w14:paraId="115A39A5"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EVSE purchased using ETS monies must be new and not previously put into service. Used equipment purchase is not allowed.</w:t>
      </w:r>
    </w:p>
    <w:p w14:paraId="4D622471"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 am looking into obtaining electric fleet vehicles for the University as well as our police department.  Would we qualify under this grant for the fleet vehicles as well as providing charging spaces around campus for visitors?  If not, is there another grant for this purpose?</w:t>
      </w:r>
    </w:p>
    <w:p w14:paraId="491CD10D"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ETS monies are intended for electric vehicle supply equipment (EVSE, as defined in RFA SECTION 1.7 DEFINITIONS) projects, and may not be used to purchase rolling stock (electric vehicles). COMMERCE does not currently have open solicitations for grants to fund rolling stock.</w:t>
      </w:r>
    </w:p>
    <w:p w14:paraId="718CBCEE"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Are public universities qualified to apply, or would we have to partner?</w:t>
      </w:r>
    </w:p>
    <w:p w14:paraId="3F38F52A"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Public universities are typically classified as state agencies by the IRS. In such a case, they are therefore considered neither local governments nor retail electric utilities, and would need to partner with a primary eligible applicant as described in RFA SECTION 1.3 MINIMUM QUALIFICATIONS to submit an application under this award.</w:t>
      </w:r>
    </w:p>
    <w:p w14:paraId="07222C18"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Are there limitations on other funding that can be applied to the program (ie. ARRA funding)?</w:t>
      </w:r>
    </w:p>
    <w:p w14:paraId="45025468"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Information concerning limitations on applicable match funding for eligible project costs may be found in RFA SECTION 1.4 FUNDING. With respect to American Recovery and Reinvestment Act (ARRA) funding, projects that receive ARRA funding via the ETS program cannot use other federal funding as Match. In addition to other limitations described in SECTION 1.4, Applicants should consider limitations imposed by other funding sources that they are considering to meet the match requirements.</w:t>
      </w:r>
    </w:p>
    <w:p w14:paraId="056D02C2"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lastRenderedPageBreak/>
        <w:t>Can applicants submit more than one application?</w:t>
      </w:r>
    </w:p>
    <w:p w14:paraId="420F924F"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There is no limitation placed on the number of applications an eligible Applicant can submit, however applicants should be aware of RFA SECTION 2.11 MOST FAVORABLE TERMS, which states that the application should be submitted initially on the most favorable terms which the Applicant can propose. Please see our response to Q&amp;A Question #22 below for additional information.</w:t>
      </w:r>
    </w:p>
    <w:p w14:paraId="6A6CC5A0"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For the question, “Identify any state employees or former state employees employed or on the Applicant’s governing board as of the date of the application. Include their position and responsibilities within the Applicants organization. If following a review of this information, it is determined by COMMERCE that a conflict of interest exists, the Applicant may be disqualified from further consideration for the award of a contract.” Can you confirm if we need to review every employee or just those directly related to the application?</w:t>
      </w:r>
    </w:p>
    <w:p w14:paraId="69E67EAA"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Any previously or current employed state employees (within the last 24 months) that are on staff in the organization or working on the project, that would have a decision making ability for the project, must be reported. This applies to two tiers of contractors also. If contractors are not know at the time of application, it must be reported during the procurement process.</w:t>
      </w:r>
    </w:p>
    <w:p w14:paraId="4A961D0B"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Do you anticipate extending the bid due date?</w:t>
      </w:r>
    </w:p>
    <w:p w14:paraId="7BE50E4D"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We do not currently anticipate extending the due date. Applicants must submit a Letter of Intent, Pre-Application, and Full Application by the deadlines listed in RFA SECTION 2.2   ESTIMATED SCHEDULE OF PROCUREMENT ACTIVITIES, unless COMMERCE revises the procurement schedule.</w:t>
      </w:r>
    </w:p>
    <w:p w14:paraId="1D62A1FA"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4/6/2020 Update: Please see the response to Q&amp;A Question #139.</w:t>
      </w:r>
    </w:p>
    <w:p w14:paraId="6BECACFD"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What additional details are you willing to provide, if any, beyond what is stated in bid documents concerning how you will identify the winning bid?</w:t>
      </w:r>
    </w:p>
    <w:p w14:paraId="71B55673"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Applicants should refer to RFA SECTION 4.1-4.2 for all publicly disclosed information regarding application evaluation for the ETS program.</w:t>
      </w:r>
    </w:p>
    <w:p w14:paraId="54C27363"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Was this bid posted to the nationwide free bid notification website at www.mygovwatch.com? Other than your own website, where was this bid posted?</w:t>
      </w:r>
    </w:p>
    <w:p w14:paraId="42D16F50"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All Washington state competitive solicitations are posted to the Washington Electronic Business Solution (WEBS) platform. COMMERCE has posted the RFA and other application materials to the program website identified in the RFA and to WEBS. COMMERCE takes no responsibility for ETS program materials posted to other webpages.</w:t>
      </w:r>
    </w:p>
    <w:p w14:paraId="77A81B70"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We’ve been approached by a few people who have asked us about having an electric charging station for our hotel guests. Would we qualify for such a grant under this program? We have a 50-unit hotel in Colfax.</w:t>
      </w:r>
    </w:p>
    <w:p w14:paraId="07318D8E"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 xml:space="preserve">Please see RFA SECTION 1.3 MINIMUM QUALIFICATIONS – businesses are not among the types of primary eligible applicants described, and ETS-funded project must serve at least one </w:t>
      </w:r>
      <w:r w:rsidRPr="001902C9">
        <w:rPr>
          <w:rFonts w:ascii="Arial" w:hAnsi="Arial" w:cs="Arial"/>
          <w:color w:val="2F5496" w:themeColor="accent5" w:themeShade="BF"/>
        </w:rPr>
        <w:lastRenderedPageBreak/>
        <w:t>of the following end uses: Public Transportation, Local Government Fleet Vehicles, Workplace Charging, Multi-Unit Dwelling (MUD) Resident Charging (Note: EVSE that exclusively or primarily serves residential buildings that are not Multi-Unit dwellings will not be considered), Public Charging, or Port – Marine or Aircraft. Businesses and other entities that are not primary eligible applicants may partner with eligible applicants to apply for an award.</w:t>
      </w:r>
    </w:p>
    <w:p w14:paraId="1310296D"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Are the grants dispersed such that would cover the entire cost, or simply a percentage? Are there other requirements we’d need to meet?</w:t>
      </w:r>
    </w:p>
    <w:p w14:paraId="6E11EDD9"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Please see RFA SECTION 1.4 FUNDING. Applicants are required to provide 1:1 match funding for projects, unless they are eligible for reduced match options (which may allow 1:5 or 1:10 match funding for projects meeting certain equity metrics). Please read the RFA in its entirety for all other project requirements.</w:t>
      </w:r>
    </w:p>
    <w:p w14:paraId="40DE80F6"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 am in the process of educating and trying to expand EV charging infrastructure with our community, with larger commercial customers and schools.  Coincidentally, there are EV charging opportunities where either none currently exist (i.e. Sound Transit Sounder Lakewood parking structure, I-5/WA HWY 512 Park &amp; Ride)or where there is desire to expand existing infrastructure (i.e. Pierce Transit headquarters and bus station).  Do these types of opportunities qualify for the ETS and if so, which ratio of funding is applicable (i.e. is 1:1 only available)?  Is transit eligible for this grant funding or is there a different grant program for them?</w:t>
      </w:r>
    </w:p>
    <w:p w14:paraId="33064332"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 xml:space="preserve">Please see RFA SECTION 1.3 MINIMUM QUALIFICATIONS for all minimum applicant, project, and equipment qualifications. COMMERCE is not able to provide Applicants advice on specific projects’ applicability to the ETS program. Please see RFA SECTION 1.4 FUNDING for information on reduced 1:5 and 1:10 match options and criteria. As stated in RFA SECTION 1.3 MINIMUM QUALIFICATIONS, retail electric utilities and local governments (including transportation authorities) are primary eligible applicants for the award. </w:t>
      </w:r>
    </w:p>
    <w:p w14:paraId="124CA93D"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Is the grant funding specifically restricted to EV charging station procurement and installation, or does it cover resource adequacy construction costs for utilities providing line and load extension?  In the case of Pierce Transit, they are going to be installing at least 40 Level 3 bus charging stations where we will need to dedicate an entire feeder at a substation to carry that load of energy usage.</w:t>
      </w:r>
    </w:p>
    <w:p w14:paraId="220534FF"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As long as they are not listed as ineligible costs under RFA SECTION 1.2 OBJECTIVES AND SCOPE OF WORK, ancillary project costs may be included in the application narrative questions and project cost proposal. Ancillary costs are meant to enable EVSE to be installed and to be a minority of a project’s costs.  Applicants should note that all project costs are subject to contract negotiation and COMMERCE is under no obligation to fund all requested project costs when determining an award.</w:t>
      </w:r>
    </w:p>
    <w:p w14:paraId="3CCED814"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Second question is around EV infrastructure for multi-unit dwellings (MUDs).  A little over 23% of the area we serve lives at or below the federal poverty level.  As newer MUDs are constructed to support the growth of affordable housing, is there a particular ratio of funding which is applicable?</w:t>
      </w:r>
    </w:p>
    <w:p w14:paraId="66444F01"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lastRenderedPageBreak/>
        <w:t>Reduced match eligibility requirements may be found in RFA SECTION 1.4 FUNDING (“Option 1” and “Option 2”). Applicants are responsible for selecting which match option they pursue, and for providing the requested project site information which will allow COMMERCE to determine the project’s eligibility for reduced match options.</w:t>
      </w:r>
    </w:p>
    <w:p w14:paraId="6597CE19"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Hence, since we have opportunities to serve both examples listed above, and funding ratios may vary for application, how do I need to complete my application accordingly?  Will it require two different applications for each type of project?</w:t>
      </w:r>
    </w:p>
    <w:p w14:paraId="0BCA9523" w14:textId="77777777" w:rsidR="00780C51" w:rsidRPr="005C2D9C" w:rsidRDefault="00780C51" w:rsidP="00780C51">
      <w:pPr>
        <w:rPr>
          <w:rFonts w:ascii="Arial" w:hAnsi="Arial" w:cs="Arial"/>
          <w:color w:val="2F5496" w:themeColor="accent5" w:themeShade="BF"/>
        </w:rPr>
      </w:pPr>
      <w:r w:rsidRPr="001902C9">
        <w:rPr>
          <w:rFonts w:ascii="Arial" w:hAnsi="Arial" w:cs="Arial"/>
          <w:color w:val="2F5496" w:themeColor="accent5" w:themeShade="BF"/>
        </w:rPr>
        <w:t xml:space="preserve">Applicants may submit multiple applications if needed, though they should be aware of RFA SECTION 2.11 MOST FAVORABLE TERMS, which states in part that “…the application should be submitted initially on the most favorable terms which the Applicant can propose.” It is the Applicant’s responsibility to determine which application represents their most favorable terms for a given project, and should note that geographic differences may not be considered sufficient to distinguish an Applicant’s applications if they cover substantially the same subject matter (ie, an applicant should not break a single application into multiple applications to receive more favorable match and/or funding requirements). Applicants should not submit multiple applications for the same project, and COMMERCE reserves the right to deem an application ineligible if it is found </w:t>
      </w:r>
      <w:r w:rsidRPr="005C2D9C">
        <w:rPr>
          <w:rFonts w:ascii="Arial" w:hAnsi="Arial" w:cs="Arial"/>
          <w:color w:val="2F5496" w:themeColor="accent5" w:themeShade="BF"/>
        </w:rPr>
        <w:t>to cover substantially the same project as another submitted application.</w:t>
      </w:r>
    </w:p>
    <w:p w14:paraId="75C82372" w14:textId="77777777" w:rsidR="00780C51" w:rsidRPr="005C2D9C" w:rsidRDefault="00780C51" w:rsidP="00780C51">
      <w:pPr>
        <w:pStyle w:val="ListParagraph"/>
        <w:numPr>
          <w:ilvl w:val="0"/>
          <w:numId w:val="4"/>
        </w:numPr>
        <w:contextualSpacing w:val="0"/>
        <w:rPr>
          <w:rFonts w:ascii="Arial" w:hAnsi="Arial" w:cs="Arial"/>
          <w:color w:val="2F5496" w:themeColor="accent5" w:themeShade="BF"/>
        </w:rPr>
      </w:pPr>
      <w:r w:rsidRPr="005C2D9C">
        <w:rPr>
          <w:rFonts w:ascii="Arial" w:hAnsi="Arial" w:cs="Arial"/>
          <w:color w:val="2F5496" w:themeColor="accent5" w:themeShade="BF"/>
        </w:rPr>
        <w:t>Finally, after reading the timeline, it appears that the successful funding recipients would receive their grants sometime between Q3 of 2020 and Q1 of 2021.  Is this correct?</w:t>
      </w:r>
    </w:p>
    <w:p w14:paraId="1A04D469" w14:textId="77777777" w:rsidR="00780C51" w:rsidRDefault="00780C51" w:rsidP="00780C51">
      <w:pPr>
        <w:rPr>
          <w:rFonts w:ascii="Arial" w:hAnsi="Arial" w:cs="Arial"/>
          <w:color w:val="2F5496" w:themeColor="accent5" w:themeShade="BF"/>
        </w:rPr>
      </w:pPr>
      <w:r w:rsidRPr="005C2D9C">
        <w:rPr>
          <w:rFonts w:ascii="Arial" w:hAnsi="Arial" w:cs="Arial"/>
          <w:color w:val="2F5496" w:themeColor="accent5" w:themeShade="BF"/>
        </w:rPr>
        <w:t xml:space="preserve">Updated 4/6/2020: COMMERCE estimates that contracts will be signed by no later than 05/25/2021, as described in RFA SECTION 2.2 ESTIMATED SCHEDULE OF PROCUREMENT ACTIVITIES. Actual contract execution will happen after awards are announced and are subject to contract negotiations and </w:t>
      </w:r>
      <w:r w:rsidRPr="006C1A86">
        <w:rPr>
          <w:rFonts w:ascii="Arial" w:hAnsi="Arial" w:cs="Arial"/>
          <w:color w:val="2F5496" w:themeColor="accent5" w:themeShade="BF"/>
        </w:rPr>
        <w:t>no successful protests. Note that COMMERCE expects to use performance-based contracting methodology for this award, meaning that grantees should expect to receive funding upon the completion of pre-defined milestones (to be negotiated during contracting).</w:t>
      </w:r>
    </w:p>
    <w:p w14:paraId="46558DB2" w14:textId="77777777" w:rsidR="00780C51" w:rsidRPr="006C1A86" w:rsidRDefault="00780C51" w:rsidP="00780C51">
      <w:pPr>
        <w:pStyle w:val="ListParagraph"/>
        <w:numPr>
          <w:ilvl w:val="0"/>
          <w:numId w:val="4"/>
        </w:numPr>
        <w:contextualSpacing w:val="0"/>
        <w:rPr>
          <w:rFonts w:ascii="Arial" w:hAnsi="Arial" w:cs="Arial"/>
          <w:color w:val="2F5496" w:themeColor="accent5" w:themeShade="BF"/>
        </w:rPr>
      </w:pPr>
      <w:r w:rsidRPr="006C1A86">
        <w:rPr>
          <w:rFonts w:ascii="Arial" w:hAnsi="Arial" w:cs="Arial"/>
          <w:color w:val="2F5496" w:themeColor="accent5" w:themeShade="BF"/>
        </w:rPr>
        <w:t>Are tribes eligible?</w:t>
      </w:r>
    </w:p>
    <w:p w14:paraId="5B29BF6D" w14:textId="77777777" w:rsidR="00780C51" w:rsidRPr="006C1A86" w:rsidRDefault="00780C51" w:rsidP="00780C51">
      <w:pPr>
        <w:rPr>
          <w:rFonts w:ascii="Arial" w:hAnsi="Arial" w:cs="Arial"/>
          <w:color w:val="2F5496" w:themeColor="accent5" w:themeShade="BF"/>
        </w:rPr>
      </w:pPr>
      <w:r w:rsidRPr="006C1A86">
        <w:rPr>
          <w:rFonts w:ascii="Arial" w:hAnsi="Arial" w:cs="Arial"/>
          <w:color w:val="2F5496" w:themeColor="accent5" w:themeShade="BF"/>
        </w:rPr>
        <w:t>The Electrification of Transportation Systems Grant and Energy Efficiency and Solar Grants Programs have recently included Tribal Governments as eligible applicants under the Local Government or Local Agency definition. Commerce made a determination after legal consultation that Tribal Governments do not fall under the definition of Local Governments,</w:t>
      </w:r>
      <w:r w:rsidRPr="005454B9">
        <w:rPr>
          <w:rFonts w:ascii="Arial" w:hAnsi="Arial" w:cs="Arial"/>
          <w:strike/>
          <w:color w:val="2F5496" w:themeColor="accent5" w:themeShade="BF"/>
        </w:rPr>
        <w:t xml:space="preserve"> and we do not have the statutory authority to extend grant eligibility to Tribal Governments as applicants under the current proviso language (which lists Local Governments and Retail Electric Utilities as primary eligible applicants)</w:t>
      </w:r>
      <w:r w:rsidRPr="006C1A86">
        <w:rPr>
          <w:rFonts w:ascii="Arial" w:hAnsi="Arial" w:cs="Arial"/>
          <w:color w:val="2F5496" w:themeColor="accent5" w:themeShade="BF"/>
        </w:rPr>
        <w:t xml:space="preserve">. </w:t>
      </w:r>
    </w:p>
    <w:p w14:paraId="6BA1A9A9" w14:textId="77777777" w:rsidR="00780C51" w:rsidRPr="006C1A86" w:rsidRDefault="00780C51" w:rsidP="00780C51">
      <w:pPr>
        <w:rPr>
          <w:rFonts w:ascii="Arial" w:hAnsi="Arial" w:cs="Arial"/>
          <w:color w:val="2F5496" w:themeColor="accent5" w:themeShade="BF"/>
        </w:rPr>
      </w:pPr>
      <w:r w:rsidRPr="006C1A86">
        <w:rPr>
          <w:rFonts w:ascii="Arial" w:hAnsi="Arial" w:cs="Arial"/>
          <w:color w:val="2F5496" w:themeColor="accent5" w:themeShade="BF"/>
        </w:rPr>
        <w:t>Tribes can still partner with primary eligible applicants, i.e. Local Governments and Retail Electric Utilities, to apply for this grant.</w:t>
      </w:r>
    </w:p>
    <w:p w14:paraId="33F6BC45" w14:textId="77777777" w:rsidR="00780C51" w:rsidRPr="006C1A86" w:rsidRDefault="00780C51" w:rsidP="00780C51">
      <w:pPr>
        <w:rPr>
          <w:rFonts w:ascii="Arial" w:hAnsi="Arial" w:cs="Arial"/>
          <w:color w:val="2F5496" w:themeColor="accent5" w:themeShade="BF"/>
        </w:rPr>
      </w:pPr>
      <w:r w:rsidRPr="006C1A86">
        <w:rPr>
          <w:rFonts w:ascii="Arial" w:hAnsi="Arial" w:cs="Arial"/>
          <w:color w:val="2F5496" w:themeColor="accent5" w:themeShade="BF"/>
        </w:rPr>
        <w:t xml:space="preserve">The Electrification of Transportation Systems Grant (ETS) Request for Applications (RFA), originally issued February 5, 2020, </w:t>
      </w:r>
      <w:r w:rsidRPr="005454B9">
        <w:rPr>
          <w:rFonts w:ascii="Arial" w:hAnsi="Arial" w:cs="Arial"/>
          <w:strike/>
          <w:color w:val="2F5496" w:themeColor="accent5" w:themeShade="BF"/>
        </w:rPr>
        <w:t>has been revised to remove Tribes as primary eligible applicants</w:t>
      </w:r>
      <w:r w:rsidRPr="006C1A86">
        <w:rPr>
          <w:rFonts w:ascii="Arial" w:hAnsi="Arial" w:cs="Arial"/>
          <w:color w:val="2F5496" w:themeColor="accent5" w:themeShade="BF"/>
        </w:rPr>
        <w:t xml:space="preserve">. The updated RFA is available here: </w:t>
      </w:r>
      <w:hyperlink r:id="rId22" w:history="1">
        <w:r w:rsidRPr="006C1A86">
          <w:rPr>
            <w:rStyle w:val="Hyperlink"/>
            <w:rFonts w:ascii="Arial" w:hAnsi="Arial" w:cs="Arial"/>
            <w:color w:val="2F5496" w:themeColor="accent5" w:themeShade="BF"/>
          </w:rPr>
          <w:t>https://www.commerce.wa.gov/growing-the-economy/energy/clean-energy-fund/electrification-of-transportation/</w:t>
        </w:r>
      </w:hyperlink>
    </w:p>
    <w:p w14:paraId="1BA170EB" w14:textId="77777777" w:rsidR="00780C51" w:rsidRPr="005C16A1" w:rsidRDefault="00780C51" w:rsidP="00780C51">
      <w:pPr>
        <w:rPr>
          <w:rStyle w:val="Hyperlink"/>
          <w:rFonts w:ascii="Arial" w:hAnsi="Arial" w:cs="Arial"/>
          <w:color w:val="2F5496" w:themeColor="accent5" w:themeShade="BF"/>
          <w:u w:val="none"/>
        </w:rPr>
      </w:pPr>
      <w:r w:rsidRPr="006C1A86">
        <w:rPr>
          <w:rStyle w:val="Hyperlink"/>
          <w:rFonts w:ascii="Arial" w:hAnsi="Arial" w:cs="Arial"/>
          <w:color w:val="2F5496" w:themeColor="accent5" w:themeShade="BF"/>
          <w:u w:val="none"/>
        </w:rPr>
        <w:lastRenderedPageBreak/>
        <w:t>The Ene</w:t>
      </w:r>
      <w:r w:rsidRPr="005C16A1">
        <w:rPr>
          <w:rStyle w:val="Hyperlink"/>
          <w:rFonts w:ascii="Arial" w:hAnsi="Arial" w:cs="Arial"/>
          <w:color w:val="2F5496" w:themeColor="accent5" w:themeShade="BF"/>
          <w:u w:val="none"/>
        </w:rPr>
        <w:t>rgy Division is committed to partnering with Tribes around the state and will be pursuing solutions that allow Tribes to directly participate in future grant programs.</w:t>
      </w:r>
    </w:p>
    <w:p w14:paraId="1B75B6A6" w14:textId="77777777" w:rsidR="00780C51" w:rsidRPr="001902C9" w:rsidRDefault="00780C51" w:rsidP="00780C51">
      <w:pPr>
        <w:rPr>
          <w:rStyle w:val="Hyperlink"/>
          <w:rFonts w:ascii="Arial" w:hAnsi="Arial" w:cs="Arial"/>
          <w:color w:val="2F5496" w:themeColor="accent5" w:themeShade="BF"/>
          <w:u w:val="none"/>
        </w:rPr>
      </w:pPr>
      <w:r w:rsidRPr="005C16A1">
        <w:rPr>
          <w:rStyle w:val="Hyperlink"/>
          <w:rFonts w:ascii="Arial" w:hAnsi="Arial" w:cs="Arial"/>
          <w:color w:val="2F5496" w:themeColor="accent5" w:themeShade="BF"/>
          <w:u w:val="none"/>
        </w:rPr>
        <w:t>3/17/2020 Update: we are monitoring potential changes to the enabling budget proviso language fo</w:t>
      </w:r>
      <w:r w:rsidRPr="001902C9">
        <w:rPr>
          <w:rStyle w:val="Hyperlink"/>
          <w:rFonts w:ascii="Arial" w:hAnsi="Arial" w:cs="Arial"/>
          <w:color w:val="2F5496" w:themeColor="accent5" w:themeShade="BF"/>
          <w:u w:val="none"/>
        </w:rPr>
        <w:t xml:space="preserve">r ETS, which have been passed by the legislature </w:t>
      </w:r>
      <w:r w:rsidRPr="001902C9">
        <w:rPr>
          <w:rStyle w:val="Hyperlink"/>
          <w:rFonts w:ascii="Arial" w:hAnsi="Arial" w:cs="Arial"/>
          <w:strike/>
          <w:color w:val="2F5496" w:themeColor="accent5" w:themeShade="BF"/>
          <w:u w:val="none"/>
        </w:rPr>
        <w:t>and are currently awaiting the Governor’s signature</w:t>
      </w:r>
      <w:r w:rsidRPr="001902C9">
        <w:rPr>
          <w:rStyle w:val="Hyperlink"/>
          <w:rFonts w:ascii="Arial" w:hAnsi="Arial" w:cs="Arial"/>
          <w:color w:val="2F5496" w:themeColor="accent5" w:themeShade="BF"/>
          <w:u w:val="none"/>
        </w:rPr>
        <w:t xml:space="preserve">, and which would make Federally Recognized Tribal Governments primary eligible applicants for the ETS program. </w:t>
      </w:r>
      <w:r w:rsidRPr="001902C9">
        <w:rPr>
          <w:rStyle w:val="Hyperlink"/>
          <w:rFonts w:ascii="Arial" w:hAnsi="Arial" w:cs="Arial"/>
          <w:strike/>
          <w:color w:val="2F5496" w:themeColor="accent5" w:themeShade="BF"/>
          <w:u w:val="none"/>
        </w:rPr>
        <w:t>We intend to respond appropriately in the case that this revision passes into law, and will make information about that response public as soon as we are able.</w:t>
      </w:r>
    </w:p>
    <w:p w14:paraId="0DECB887" w14:textId="77777777" w:rsidR="00780C51" w:rsidRPr="001902C9" w:rsidRDefault="00780C51" w:rsidP="00780C51">
      <w:pPr>
        <w:rPr>
          <w:rFonts w:ascii="Arial" w:hAnsi="Arial" w:cs="Arial"/>
          <w:color w:val="2F5496" w:themeColor="accent5" w:themeShade="BF"/>
        </w:rPr>
      </w:pPr>
      <w:r w:rsidRPr="001902C9">
        <w:rPr>
          <w:rStyle w:val="Hyperlink"/>
          <w:rFonts w:ascii="Arial" w:hAnsi="Arial" w:cs="Arial"/>
          <w:color w:val="2F5496" w:themeColor="accent5" w:themeShade="BF"/>
          <w:u w:val="none"/>
        </w:rPr>
        <w:t>4/6/2020 Update:</w:t>
      </w:r>
      <w:r w:rsidRPr="001902C9">
        <w:rPr>
          <w:color w:val="2F5496" w:themeColor="accent5" w:themeShade="BF"/>
        </w:rPr>
        <w:t xml:space="preserve"> </w:t>
      </w:r>
      <w:r w:rsidRPr="001902C9">
        <w:rPr>
          <w:rStyle w:val="Hyperlink"/>
          <w:rFonts w:ascii="Arial" w:hAnsi="Arial" w:cs="Arial"/>
          <w:color w:val="2F5496" w:themeColor="accent5" w:themeShade="BF"/>
          <w:u w:val="none"/>
        </w:rPr>
        <w:t>Governor Inslee has signed into law a change to the budget proviso language for ETS, making Federally Recognized Tribal Governments primary eligible applicants for the program. Commerce has revised the Request for Applications and other application materials to reflect this change. Before incorporating the further deadline extension described below, Federally Recognized Tribal Governments will have the same number of days to complete their Letters of Intent and Applications as other eligible applicants</w:t>
      </w:r>
      <w:r w:rsidRPr="001902C9">
        <w:rPr>
          <w:rStyle w:val="FootnoteReference"/>
          <w:rFonts w:ascii="Arial" w:hAnsi="Arial" w:cs="Arial"/>
          <w:color w:val="2F5496" w:themeColor="accent5" w:themeShade="BF"/>
        </w:rPr>
        <w:footnoteReference w:id="1"/>
      </w:r>
      <w:r w:rsidRPr="001902C9">
        <w:rPr>
          <w:rStyle w:val="Hyperlink"/>
          <w:rFonts w:ascii="Arial" w:hAnsi="Arial" w:cs="Arial"/>
          <w:color w:val="2F5496" w:themeColor="accent5" w:themeShade="BF"/>
          <w:u w:val="none"/>
        </w:rPr>
        <w:t>. Please see the RFA for more information.</w:t>
      </w:r>
    </w:p>
    <w:p w14:paraId="4D6FCBB0"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Would the University of Washington qualify under this applicant criteria?</w:t>
      </w:r>
    </w:p>
    <w:p w14:paraId="54E60510" w14:textId="77777777" w:rsidR="00780C51" w:rsidRPr="006C1A86" w:rsidRDefault="00780C51" w:rsidP="00780C51">
      <w:pPr>
        <w:spacing w:after="0" w:line="240" w:lineRule="auto"/>
        <w:ind w:left="360"/>
        <w:rPr>
          <w:rFonts w:ascii="Arial" w:hAnsi="Arial" w:cs="Arial"/>
          <w:b/>
          <w:i/>
          <w:color w:val="2F5496" w:themeColor="accent5" w:themeShade="BF"/>
        </w:rPr>
      </w:pPr>
      <w:r w:rsidRPr="001902C9">
        <w:rPr>
          <w:rFonts w:ascii="Arial" w:hAnsi="Arial" w:cs="Arial"/>
          <w:b/>
          <w:i/>
          <w:color w:val="2F5496" w:themeColor="accent5" w:themeShade="BF"/>
        </w:rPr>
        <w:t>App</w:t>
      </w:r>
      <w:r w:rsidRPr="006C1A86">
        <w:rPr>
          <w:rFonts w:ascii="Arial" w:hAnsi="Arial" w:cs="Arial"/>
          <w:b/>
          <w:i/>
          <w:color w:val="2F5496" w:themeColor="accent5" w:themeShade="BF"/>
        </w:rPr>
        <w:t>licant</w:t>
      </w:r>
    </w:p>
    <w:p w14:paraId="175D26C2" w14:textId="77777777" w:rsidR="00780C51" w:rsidRPr="006C1A86" w:rsidRDefault="00780C51" w:rsidP="00780C51">
      <w:pPr>
        <w:spacing w:after="0" w:line="240" w:lineRule="auto"/>
        <w:ind w:left="360"/>
        <w:rPr>
          <w:rFonts w:ascii="Arial" w:hAnsi="Arial" w:cs="Arial"/>
          <w:i/>
          <w:color w:val="2F5496" w:themeColor="accent5" w:themeShade="BF"/>
        </w:rPr>
      </w:pPr>
      <w:r w:rsidRPr="006C1A86">
        <w:rPr>
          <w:rFonts w:ascii="Arial" w:hAnsi="Arial" w:cs="Arial"/>
          <w:i/>
          <w:color w:val="2F5496" w:themeColor="accent5" w:themeShade="BF"/>
        </w:rPr>
        <w:t xml:space="preserve">The primary eligible Applicant, who may partner with other organizations, must be one of the following: </w:t>
      </w:r>
    </w:p>
    <w:p w14:paraId="6BA4A230" w14:textId="77777777" w:rsidR="00780C51" w:rsidRPr="006C1A86" w:rsidRDefault="00780C51" w:rsidP="00780C51">
      <w:pPr>
        <w:spacing w:after="0" w:line="240" w:lineRule="auto"/>
        <w:ind w:left="360"/>
        <w:rPr>
          <w:rFonts w:ascii="Arial" w:hAnsi="Arial" w:cs="Arial"/>
          <w:b/>
          <w:i/>
          <w:color w:val="2F5496" w:themeColor="accent5" w:themeShade="BF"/>
        </w:rPr>
      </w:pPr>
      <w:r w:rsidRPr="006C1A86">
        <w:rPr>
          <w:rFonts w:ascii="Arial" w:hAnsi="Arial" w:cs="Arial"/>
          <w:b/>
          <w:i/>
          <w:color w:val="2F5496" w:themeColor="accent5" w:themeShade="BF"/>
        </w:rPr>
        <w:t>Washington State Local Government</w:t>
      </w:r>
    </w:p>
    <w:p w14:paraId="25EEF0BE" w14:textId="77777777" w:rsidR="00780C51" w:rsidRPr="006C1A86" w:rsidRDefault="00780C51" w:rsidP="00780C51">
      <w:pPr>
        <w:spacing w:after="0" w:line="240" w:lineRule="auto"/>
        <w:ind w:left="360"/>
        <w:rPr>
          <w:rFonts w:ascii="Arial" w:hAnsi="Arial" w:cs="Arial"/>
          <w:b/>
          <w:i/>
          <w:color w:val="2F5496" w:themeColor="accent5" w:themeShade="BF"/>
        </w:rPr>
      </w:pPr>
      <w:r w:rsidRPr="006C1A86">
        <w:rPr>
          <w:rFonts w:ascii="Arial" w:hAnsi="Arial" w:cs="Arial"/>
          <w:i/>
          <w:color w:val="2F5496" w:themeColor="accent5" w:themeShade="BF"/>
        </w:rPr>
        <w:t>For the purpose of this Program, “Local Governments” includes cities, towns, counties, special and school districts, transportation authorities, municipal corporations, port districts or authorities,  tribal governments, political subdivisions of any type, or any other entities or authorities of local government in corporate form or otherwise</w:t>
      </w:r>
      <w:r w:rsidRPr="006C1A86">
        <w:rPr>
          <w:rFonts w:ascii="Arial" w:hAnsi="Arial" w:cs="Arial"/>
          <w:b/>
          <w:i/>
          <w:color w:val="2F5496" w:themeColor="accent5" w:themeShade="BF"/>
        </w:rPr>
        <w:t>.</w:t>
      </w:r>
    </w:p>
    <w:p w14:paraId="5A9672AD" w14:textId="77777777" w:rsidR="00780C51" w:rsidRPr="006C1A86" w:rsidRDefault="00780C51" w:rsidP="00780C51">
      <w:pPr>
        <w:spacing w:after="0" w:line="240" w:lineRule="auto"/>
        <w:ind w:left="360"/>
        <w:rPr>
          <w:rFonts w:ascii="Arial" w:hAnsi="Arial" w:cs="Arial"/>
          <w:b/>
          <w:color w:val="2F5496" w:themeColor="accent5" w:themeShade="BF"/>
        </w:rPr>
      </w:pPr>
    </w:p>
    <w:p w14:paraId="58BA45E4" w14:textId="77777777" w:rsidR="00780C51" w:rsidRPr="006C1A86" w:rsidRDefault="00780C51" w:rsidP="00780C51">
      <w:pPr>
        <w:rPr>
          <w:rFonts w:ascii="Arial" w:hAnsi="Arial" w:cs="Arial"/>
          <w:color w:val="2F5496" w:themeColor="accent5" w:themeShade="BF"/>
        </w:rPr>
      </w:pPr>
      <w:r w:rsidRPr="006C1A86">
        <w:rPr>
          <w:rFonts w:ascii="Arial" w:hAnsi="Arial" w:cs="Arial"/>
          <w:color w:val="2F5496" w:themeColor="accent5" w:themeShade="BF"/>
        </w:rPr>
        <w:t>Please see the answer to question #10 above regarding public university eligibility. Public universities are typically classified as state agencies by the IRS. In such a case, they are therefore considered neither local governments nor retail electric utilities, and would need to partner with a primary eligible applicant as described in RFA SECTION 1.3 MINIMUM QUALIFICATIONS to submit an application under this award.</w:t>
      </w:r>
    </w:p>
    <w:p w14:paraId="7D181D02" w14:textId="77777777" w:rsidR="00780C51" w:rsidRPr="006C1A86" w:rsidRDefault="00780C51" w:rsidP="00780C51">
      <w:pPr>
        <w:spacing w:after="0" w:line="240" w:lineRule="auto"/>
        <w:ind w:left="360"/>
        <w:rPr>
          <w:rFonts w:ascii="Arial" w:hAnsi="Arial" w:cs="Arial"/>
          <w:b/>
          <w:color w:val="2F5496" w:themeColor="accent5" w:themeShade="BF"/>
        </w:rPr>
      </w:pPr>
    </w:p>
    <w:p w14:paraId="211DC61F" w14:textId="77777777" w:rsidR="00780C51" w:rsidRPr="006C1A86" w:rsidRDefault="00780C51" w:rsidP="00780C51">
      <w:pPr>
        <w:pStyle w:val="ListParagraph"/>
        <w:numPr>
          <w:ilvl w:val="0"/>
          <w:numId w:val="4"/>
        </w:numPr>
        <w:spacing w:line="240" w:lineRule="auto"/>
        <w:contextualSpacing w:val="0"/>
        <w:rPr>
          <w:rFonts w:ascii="Arial" w:hAnsi="Arial" w:cs="Arial"/>
          <w:color w:val="2F5496" w:themeColor="accent5" w:themeShade="BF"/>
        </w:rPr>
      </w:pPr>
      <w:r w:rsidRPr="006C1A86">
        <w:rPr>
          <w:rFonts w:ascii="Arial" w:hAnsi="Arial" w:cs="Arial"/>
          <w:color w:val="2F5496" w:themeColor="accent5" w:themeShade="BF"/>
        </w:rPr>
        <w:t>The city of Blaine recently signed a lease with ChargePoint for a couple of EV chargers in the public right of way. Would it be possible to get reimbursement for the lease through the grant? If so, we may look at a few more locations and include those in our application as well.</w:t>
      </w:r>
    </w:p>
    <w:p w14:paraId="0E46586D" w14:textId="77777777" w:rsidR="00780C51" w:rsidRPr="006C1A86" w:rsidRDefault="00780C51" w:rsidP="00780C51">
      <w:pPr>
        <w:spacing w:after="0" w:line="240" w:lineRule="auto"/>
        <w:rPr>
          <w:rFonts w:ascii="Arial" w:hAnsi="Arial" w:cs="Arial"/>
          <w:color w:val="2F5496" w:themeColor="accent5" w:themeShade="BF"/>
        </w:rPr>
      </w:pPr>
      <w:r w:rsidRPr="006C1A86">
        <w:rPr>
          <w:rFonts w:ascii="Arial" w:hAnsi="Arial" w:cs="Arial"/>
          <w:color w:val="2F5496" w:themeColor="accent5" w:themeShade="BF"/>
        </w:rPr>
        <w:t>ETS monies cannot be used to fund project costs incurred prior to Commerce’s issuance of the award letter.</w:t>
      </w:r>
    </w:p>
    <w:p w14:paraId="3BBAF3D0" w14:textId="77777777" w:rsidR="00780C51" w:rsidRPr="006C1A86" w:rsidRDefault="00780C51" w:rsidP="00780C51">
      <w:pPr>
        <w:pStyle w:val="ListParagraph"/>
        <w:contextualSpacing w:val="0"/>
        <w:rPr>
          <w:rFonts w:ascii="Arial" w:hAnsi="Arial" w:cs="Arial"/>
          <w:color w:val="2F5496" w:themeColor="accent5" w:themeShade="BF"/>
        </w:rPr>
      </w:pPr>
    </w:p>
    <w:p w14:paraId="0E283E78" w14:textId="77777777" w:rsidR="00780C51" w:rsidRPr="006C1A86" w:rsidRDefault="00780C51" w:rsidP="00780C51">
      <w:pPr>
        <w:pStyle w:val="ListParagraph"/>
        <w:numPr>
          <w:ilvl w:val="0"/>
          <w:numId w:val="4"/>
        </w:numPr>
        <w:spacing w:line="240" w:lineRule="auto"/>
        <w:contextualSpacing w:val="0"/>
        <w:rPr>
          <w:rFonts w:ascii="Arial" w:hAnsi="Arial" w:cs="Arial"/>
          <w:color w:val="2F5496" w:themeColor="accent5" w:themeShade="BF"/>
        </w:rPr>
      </w:pPr>
      <w:r w:rsidRPr="006C1A86">
        <w:rPr>
          <w:rFonts w:ascii="Arial" w:hAnsi="Arial" w:cs="Arial"/>
          <w:color w:val="2F5496" w:themeColor="accent5" w:themeShade="BF"/>
        </w:rPr>
        <w:lastRenderedPageBreak/>
        <w:t>Similarly, could the applicant provide for construction activities through agreements with a private party (such as a property management company, performance contractor, housing authority or homeowner’s association)?</w:t>
      </w:r>
    </w:p>
    <w:p w14:paraId="38F13525" w14:textId="77777777" w:rsidR="00780C51" w:rsidRPr="006C1A86" w:rsidRDefault="00780C51" w:rsidP="00780C51">
      <w:pPr>
        <w:pStyle w:val="ListParagraph"/>
        <w:spacing w:before="240"/>
        <w:ind w:left="0"/>
        <w:contextualSpacing w:val="0"/>
        <w:rPr>
          <w:rFonts w:ascii="Arial" w:hAnsi="Arial" w:cs="Arial"/>
          <w:color w:val="2F5496" w:themeColor="accent5" w:themeShade="BF"/>
        </w:rPr>
      </w:pPr>
      <w:r w:rsidRPr="006C1A86">
        <w:rPr>
          <w:rFonts w:ascii="Arial" w:hAnsi="Arial" w:cs="Arial"/>
          <w:color w:val="2F5496" w:themeColor="accent5" w:themeShade="BF"/>
        </w:rPr>
        <w:t>It is typical for construction activities to be provided for under agreements with third party subcontractors. Please see RFA EXHIBIT B SERVICE CONTRACT FORMAT INCLUDING GENERAL TERMS AND CONDITIONS for typical terms and conditions regarding subcontracting and Grantee responsibility to ensure subcontractor compliance with conditions of the award.</w:t>
      </w:r>
    </w:p>
    <w:p w14:paraId="1890A516" w14:textId="77777777" w:rsidR="00780C51" w:rsidRPr="006C1A86" w:rsidRDefault="00780C51" w:rsidP="00780C51">
      <w:pPr>
        <w:pStyle w:val="ListParagraph"/>
        <w:numPr>
          <w:ilvl w:val="0"/>
          <w:numId w:val="4"/>
        </w:numPr>
        <w:spacing w:line="240" w:lineRule="auto"/>
        <w:contextualSpacing w:val="0"/>
        <w:rPr>
          <w:rFonts w:ascii="Arial" w:hAnsi="Arial" w:cs="Arial"/>
          <w:color w:val="2F5496" w:themeColor="accent5" w:themeShade="BF"/>
        </w:rPr>
      </w:pPr>
      <w:r w:rsidRPr="006C1A86">
        <w:rPr>
          <w:rFonts w:ascii="Arial" w:hAnsi="Arial" w:cs="Arial"/>
          <w:color w:val="2F5496" w:themeColor="accent5" w:themeShade="BF"/>
        </w:rPr>
        <w:t xml:space="preserve">I'd like to talk with you to understand whether this sort of project would be of interest to Washington DOC.  </w:t>
      </w:r>
    </w:p>
    <w:p w14:paraId="0019EBE7" w14:textId="77777777" w:rsidR="00780C51" w:rsidRPr="006C1A86" w:rsidRDefault="00780C51" w:rsidP="00780C51">
      <w:pPr>
        <w:spacing w:after="0" w:line="240" w:lineRule="auto"/>
        <w:rPr>
          <w:rFonts w:ascii="Arial" w:hAnsi="Arial" w:cs="Arial"/>
          <w:color w:val="2F5496" w:themeColor="accent5" w:themeShade="BF"/>
        </w:rPr>
      </w:pPr>
      <w:r w:rsidRPr="006C1A86">
        <w:rPr>
          <w:rFonts w:ascii="Arial" w:hAnsi="Arial" w:cs="Arial"/>
          <w:color w:val="2F5496" w:themeColor="accent5" w:themeShade="BF"/>
        </w:rPr>
        <w:t>Commerce is unable to provide advice on the suitability of particular projects for specific grant opportunities, or to indicate whether they would be of interest to Commerce as an Agency. Reading the latest version of the ETS RFA and Q&amp;A and attending the Pre-Application Conference will be a potential Applicant’s best avenues to understanding the program’s priorities and determining their project’s fit for the current solicitation.</w:t>
      </w:r>
    </w:p>
    <w:p w14:paraId="7D7BA527" w14:textId="77777777" w:rsidR="00780C51" w:rsidRPr="006C1A86" w:rsidRDefault="00780C51" w:rsidP="00780C51">
      <w:pPr>
        <w:spacing w:after="0" w:line="240" w:lineRule="auto"/>
        <w:rPr>
          <w:rFonts w:ascii="Arial" w:hAnsi="Arial" w:cs="Arial"/>
          <w:color w:val="2F5496" w:themeColor="accent5" w:themeShade="BF"/>
        </w:rPr>
      </w:pPr>
    </w:p>
    <w:p w14:paraId="0B7BB7C4" w14:textId="77777777" w:rsidR="00780C51" w:rsidRPr="006C1A86" w:rsidRDefault="00780C51" w:rsidP="00780C51">
      <w:pPr>
        <w:pStyle w:val="ListParagraph"/>
        <w:numPr>
          <w:ilvl w:val="0"/>
          <w:numId w:val="4"/>
        </w:numPr>
        <w:spacing w:line="240" w:lineRule="auto"/>
        <w:contextualSpacing w:val="0"/>
        <w:rPr>
          <w:rFonts w:ascii="Arial" w:hAnsi="Arial" w:cs="Arial"/>
          <w:color w:val="2F5496" w:themeColor="accent5" w:themeShade="BF"/>
        </w:rPr>
      </w:pPr>
      <w:r w:rsidRPr="006C1A86">
        <w:rPr>
          <w:rFonts w:ascii="Arial" w:hAnsi="Arial" w:cs="Arial"/>
          <w:color w:val="2F5496" w:themeColor="accent5" w:themeShade="BF"/>
        </w:rPr>
        <w:t xml:space="preserve">One of my colleagues would like to participate in the </w:t>
      </w:r>
      <w:r>
        <w:rPr>
          <w:rFonts w:ascii="Arial" w:hAnsi="Arial" w:cs="Arial"/>
          <w:color w:val="2F5496" w:themeColor="accent5" w:themeShade="BF"/>
        </w:rPr>
        <w:tab/>
      </w:r>
      <w:r w:rsidRPr="006C1A86">
        <w:rPr>
          <w:rFonts w:ascii="Arial" w:hAnsi="Arial" w:cs="Arial"/>
          <w:color w:val="2F5496" w:themeColor="accent5" w:themeShade="BF"/>
        </w:rPr>
        <w:t>cation Conference via Skype, for the Electrification of Transportation Systems Program. Can you send some instructions our way, on how to connect?</w:t>
      </w:r>
    </w:p>
    <w:p w14:paraId="24459F5D" w14:textId="77777777" w:rsidR="00780C51" w:rsidRPr="006C1A86" w:rsidRDefault="00780C51" w:rsidP="00780C51">
      <w:pPr>
        <w:spacing w:after="0" w:line="240" w:lineRule="auto"/>
        <w:rPr>
          <w:rFonts w:ascii="Arial" w:hAnsi="Arial" w:cs="Arial"/>
          <w:color w:val="2F5496" w:themeColor="accent5" w:themeShade="BF"/>
        </w:rPr>
      </w:pPr>
      <w:r w:rsidRPr="006C1A86">
        <w:rPr>
          <w:rFonts w:ascii="Arial" w:hAnsi="Arial" w:cs="Arial"/>
          <w:color w:val="2F5496" w:themeColor="accent5" w:themeShade="BF"/>
        </w:rPr>
        <w:t>As stated in the RFA, Skype and call-in information for the Pre-Application Conference is located on the program website.</w:t>
      </w:r>
    </w:p>
    <w:p w14:paraId="1DFF7F5D" w14:textId="77777777" w:rsidR="00780C51" w:rsidRPr="006C1A86" w:rsidRDefault="00780C51" w:rsidP="00780C51">
      <w:pPr>
        <w:spacing w:after="0" w:line="240" w:lineRule="auto"/>
        <w:rPr>
          <w:rFonts w:ascii="Arial" w:hAnsi="Arial" w:cs="Arial"/>
          <w:color w:val="2F5496" w:themeColor="accent5" w:themeShade="BF"/>
        </w:rPr>
      </w:pPr>
    </w:p>
    <w:p w14:paraId="6DC5DEAF" w14:textId="77777777" w:rsidR="00780C51" w:rsidRPr="006C1A86" w:rsidRDefault="00780C51" w:rsidP="00780C51">
      <w:pPr>
        <w:pStyle w:val="ListParagraph"/>
        <w:numPr>
          <w:ilvl w:val="0"/>
          <w:numId w:val="4"/>
        </w:numPr>
        <w:spacing w:line="240" w:lineRule="auto"/>
        <w:contextualSpacing w:val="0"/>
        <w:rPr>
          <w:rFonts w:ascii="Arial" w:hAnsi="Arial" w:cs="Arial"/>
          <w:color w:val="2F5496" w:themeColor="accent5" w:themeShade="BF"/>
        </w:rPr>
      </w:pPr>
      <w:r w:rsidRPr="006C1A86">
        <w:rPr>
          <w:rFonts w:ascii="Arial" w:hAnsi="Arial" w:cs="Arial"/>
          <w:color w:val="2F5496" w:themeColor="accent5" w:themeShade="BF"/>
        </w:rPr>
        <w:t>When going over the materials and schedule, the Pre-Application was not included on the schedule and I assumed it was part of the Letter of Intent that is due on March 5th. Is that correct? In your answer to question #14 you list them as separate items (and I understand they are to an extent) but the Pre-Application is not listed on the schedule with a due date on page 11.</w:t>
      </w:r>
    </w:p>
    <w:p w14:paraId="5AFCDFDA" w14:textId="77777777" w:rsidR="00780C51" w:rsidRPr="006C1A86" w:rsidRDefault="00780C51" w:rsidP="00780C51">
      <w:pPr>
        <w:spacing w:after="0" w:line="240" w:lineRule="auto"/>
        <w:rPr>
          <w:rFonts w:ascii="Arial" w:hAnsi="Arial" w:cs="Arial"/>
          <w:color w:val="2F5496" w:themeColor="accent5" w:themeShade="BF"/>
        </w:rPr>
      </w:pPr>
      <w:r w:rsidRPr="006C1A86">
        <w:rPr>
          <w:rFonts w:ascii="Arial" w:hAnsi="Arial" w:cs="Arial"/>
          <w:color w:val="2F5496" w:themeColor="accent5" w:themeShade="BF"/>
        </w:rPr>
        <w:t>Only the Letter of Intent is due on the Letter of Intent deadline. The Pre-Application and Full Application are both due on the date of the Application deadline (they are both components of the Application, as described in SECTION 3 APPLICATION CONTENTS).</w:t>
      </w:r>
    </w:p>
    <w:p w14:paraId="322486D6" w14:textId="77777777" w:rsidR="00780C51" w:rsidRPr="006C1A86" w:rsidRDefault="00780C51" w:rsidP="00780C51">
      <w:pPr>
        <w:spacing w:after="0" w:line="240" w:lineRule="auto"/>
        <w:rPr>
          <w:rFonts w:ascii="Arial" w:hAnsi="Arial" w:cs="Arial"/>
          <w:color w:val="2F5496" w:themeColor="accent5" w:themeShade="BF"/>
        </w:rPr>
      </w:pPr>
    </w:p>
    <w:p w14:paraId="3E559503" w14:textId="77777777" w:rsidR="00780C51" w:rsidRPr="006C1A86" w:rsidRDefault="00780C51" w:rsidP="00780C51">
      <w:pPr>
        <w:pStyle w:val="ListParagraph"/>
        <w:numPr>
          <w:ilvl w:val="0"/>
          <w:numId w:val="4"/>
        </w:numPr>
        <w:spacing w:line="240" w:lineRule="auto"/>
        <w:contextualSpacing w:val="0"/>
        <w:rPr>
          <w:rFonts w:ascii="Arial" w:hAnsi="Arial" w:cs="Arial"/>
          <w:color w:val="2F5496" w:themeColor="accent5" w:themeShade="BF"/>
        </w:rPr>
      </w:pPr>
      <w:r w:rsidRPr="006C1A86">
        <w:rPr>
          <w:rFonts w:ascii="Arial" w:hAnsi="Arial" w:cs="Arial"/>
          <w:color w:val="2F5496" w:themeColor="accent5" w:themeShade="BF"/>
        </w:rPr>
        <w:t>What is an example of a Workplace or MUD that is served by Government or Utility?</w:t>
      </w:r>
    </w:p>
    <w:p w14:paraId="744262B0" w14:textId="77777777" w:rsidR="00780C51" w:rsidRPr="006C1A86" w:rsidRDefault="00780C51" w:rsidP="00780C51">
      <w:pPr>
        <w:spacing w:after="0" w:line="240" w:lineRule="auto"/>
        <w:rPr>
          <w:rFonts w:ascii="Arial" w:hAnsi="Arial" w:cs="Arial"/>
          <w:color w:val="2F5496" w:themeColor="accent5" w:themeShade="BF"/>
        </w:rPr>
      </w:pPr>
      <w:r w:rsidRPr="006C1A86">
        <w:rPr>
          <w:rFonts w:ascii="Arial" w:hAnsi="Arial" w:cs="Arial"/>
          <w:color w:val="2F5496" w:themeColor="accent5" w:themeShade="BF"/>
        </w:rPr>
        <w:t>Qualifying applicants are free to pursue partnerships with other entities to enable the installation of projects that meet the requirements of the RFA, including the end use requirement listed in RFA SECTION 1.3 MINIMUM QUALIFICATIONS. As an example, a retail electric utility could partner with a privately-owned MUD to submit an application, provided that their application fulfills all of the other minimum criteria outlined in the RFA.</w:t>
      </w:r>
    </w:p>
    <w:p w14:paraId="31D0E888" w14:textId="77777777" w:rsidR="00780C51" w:rsidRPr="006C1A86" w:rsidRDefault="00780C51" w:rsidP="00780C51">
      <w:pPr>
        <w:spacing w:after="0" w:line="240" w:lineRule="auto"/>
        <w:rPr>
          <w:rFonts w:ascii="Arial" w:hAnsi="Arial" w:cs="Arial"/>
          <w:color w:val="2F5496" w:themeColor="accent5" w:themeShade="BF"/>
        </w:rPr>
      </w:pPr>
    </w:p>
    <w:p w14:paraId="36758724" w14:textId="77777777" w:rsidR="00780C51" w:rsidRPr="006C1A86" w:rsidRDefault="00780C51" w:rsidP="00780C51">
      <w:pPr>
        <w:pStyle w:val="ListParagraph"/>
        <w:numPr>
          <w:ilvl w:val="0"/>
          <w:numId w:val="4"/>
        </w:numPr>
        <w:spacing w:line="240" w:lineRule="auto"/>
        <w:contextualSpacing w:val="0"/>
        <w:rPr>
          <w:rFonts w:ascii="Arial" w:hAnsi="Arial" w:cs="Arial"/>
          <w:color w:val="2F5496" w:themeColor="accent5" w:themeShade="BF"/>
        </w:rPr>
      </w:pPr>
      <w:r w:rsidRPr="006C1A86">
        <w:rPr>
          <w:rFonts w:ascii="Arial" w:hAnsi="Arial" w:cs="Arial"/>
          <w:color w:val="2F5496" w:themeColor="accent5" w:themeShade="BF"/>
        </w:rPr>
        <w:t>Would a Government building be simply considered a workplace?</w:t>
      </w:r>
    </w:p>
    <w:p w14:paraId="55CE52D5" w14:textId="77777777" w:rsidR="00780C51" w:rsidRPr="006C1A86" w:rsidRDefault="00780C51" w:rsidP="00780C51">
      <w:pPr>
        <w:spacing w:after="0" w:line="240" w:lineRule="auto"/>
        <w:rPr>
          <w:rFonts w:ascii="Arial" w:hAnsi="Arial" w:cs="Arial"/>
          <w:color w:val="2F5496" w:themeColor="accent5" w:themeShade="BF"/>
        </w:rPr>
      </w:pPr>
      <w:r w:rsidRPr="006C1A86">
        <w:rPr>
          <w:rFonts w:ascii="Arial" w:hAnsi="Arial" w:cs="Arial"/>
          <w:color w:val="2F5496" w:themeColor="accent5" w:themeShade="BF"/>
        </w:rPr>
        <w:t>Government buildings may or may not be considered workplaces. Workplace Charging is defined in RFA SECTION 1.7 DEFINITIONS. Projects determined by Commerce to be serving this end use must, at a minimum, conform to that definition.</w:t>
      </w:r>
    </w:p>
    <w:p w14:paraId="674C9EA7" w14:textId="77777777" w:rsidR="00780C51" w:rsidRPr="006C1A86" w:rsidRDefault="00780C51" w:rsidP="00780C51">
      <w:pPr>
        <w:spacing w:after="0" w:line="240" w:lineRule="auto"/>
        <w:rPr>
          <w:rFonts w:ascii="Arial" w:hAnsi="Arial" w:cs="Arial"/>
          <w:color w:val="2F5496" w:themeColor="accent5" w:themeShade="BF"/>
        </w:rPr>
      </w:pPr>
    </w:p>
    <w:p w14:paraId="016F4E61" w14:textId="77777777" w:rsidR="00780C51" w:rsidRPr="006C1A86" w:rsidRDefault="00780C51" w:rsidP="00780C51">
      <w:pPr>
        <w:pStyle w:val="ListParagraph"/>
        <w:numPr>
          <w:ilvl w:val="0"/>
          <w:numId w:val="4"/>
        </w:numPr>
        <w:spacing w:line="240" w:lineRule="auto"/>
        <w:contextualSpacing w:val="0"/>
        <w:rPr>
          <w:rFonts w:ascii="Arial" w:hAnsi="Arial" w:cs="Arial"/>
          <w:color w:val="2F5496" w:themeColor="accent5" w:themeShade="BF"/>
        </w:rPr>
      </w:pPr>
      <w:r w:rsidRPr="006C1A86">
        <w:rPr>
          <w:rFonts w:ascii="Arial" w:hAnsi="Arial" w:cs="Arial"/>
          <w:color w:val="2F5496" w:themeColor="accent5" w:themeShade="BF"/>
        </w:rPr>
        <w:lastRenderedPageBreak/>
        <w:t>What is an example of government MUD?  Aren't all MUD's owned by a corporation, and not Government?</w:t>
      </w:r>
    </w:p>
    <w:p w14:paraId="261E8D52" w14:textId="77777777" w:rsidR="00780C51" w:rsidRPr="006C1A86" w:rsidRDefault="00780C51" w:rsidP="00780C51">
      <w:pPr>
        <w:spacing w:after="0" w:line="240" w:lineRule="auto"/>
        <w:rPr>
          <w:rFonts w:ascii="Arial" w:hAnsi="Arial" w:cs="Arial"/>
          <w:color w:val="2F5496" w:themeColor="accent5" w:themeShade="BF"/>
        </w:rPr>
      </w:pPr>
      <w:r w:rsidRPr="006C1A86">
        <w:rPr>
          <w:rFonts w:ascii="Arial" w:hAnsi="Arial" w:cs="Arial"/>
          <w:color w:val="2F5496" w:themeColor="accent5" w:themeShade="BF"/>
        </w:rPr>
        <w:t>Qualifying applicants are free to pursue partnerships with other entities to enable the installation of projects that meet the requirements of the RFA, including the end use requirement listed in RFA SECTION 1.3 MINIMUM QUALIFICATIONS.</w:t>
      </w:r>
    </w:p>
    <w:p w14:paraId="7D205176" w14:textId="77777777" w:rsidR="00780C51" w:rsidRPr="006C1A86" w:rsidRDefault="00780C51" w:rsidP="00780C51">
      <w:pPr>
        <w:spacing w:after="0" w:line="240" w:lineRule="auto"/>
        <w:rPr>
          <w:rFonts w:ascii="Arial" w:hAnsi="Arial" w:cs="Arial"/>
          <w:color w:val="2F5496" w:themeColor="accent5" w:themeShade="BF"/>
        </w:rPr>
      </w:pPr>
    </w:p>
    <w:p w14:paraId="5BE21CEE" w14:textId="77777777" w:rsidR="00780C51" w:rsidRPr="006C1A86" w:rsidRDefault="00780C51" w:rsidP="00780C51">
      <w:pPr>
        <w:pStyle w:val="ListParagraph"/>
        <w:numPr>
          <w:ilvl w:val="0"/>
          <w:numId w:val="4"/>
        </w:numPr>
        <w:spacing w:line="240" w:lineRule="auto"/>
        <w:contextualSpacing w:val="0"/>
        <w:rPr>
          <w:rFonts w:ascii="Arial" w:hAnsi="Arial" w:cs="Arial"/>
          <w:color w:val="2F5496" w:themeColor="accent5" w:themeShade="BF"/>
        </w:rPr>
      </w:pPr>
      <w:r w:rsidRPr="006C1A86">
        <w:rPr>
          <w:rFonts w:ascii="Arial" w:hAnsi="Arial" w:cs="Arial"/>
          <w:color w:val="2F5496" w:themeColor="accent5" w:themeShade="BF"/>
        </w:rPr>
        <w:t>If a workplace or MUD wants to be the recipient of a specific brand of EVSE, and they ask that manufacturer for help, is it best determined that the manufacturer reach out to their utility for assistance?  If so, who at the Utility would the EVSE manufacturer reach out to (example of titles or departments at the Utility)?</w:t>
      </w:r>
    </w:p>
    <w:p w14:paraId="0C7CBED7" w14:textId="77777777" w:rsidR="00780C51" w:rsidRPr="006C1A86" w:rsidRDefault="00780C51" w:rsidP="00780C51">
      <w:pPr>
        <w:spacing w:after="0" w:line="240" w:lineRule="auto"/>
        <w:rPr>
          <w:rFonts w:ascii="Arial" w:hAnsi="Arial" w:cs="Arial"/>
          <w:color w:val="2F5496" w:themeColor="accent5" w:themeShade="BF"/>
        </w:rPr>
      </w:pPr>
      <w:r w:rsidRPr="006C1A86">
        <w:rPr>
          <w:rFonts w:ascii="Arial" w:hAnsi="Arial" w:cs="Arial"/>
          <w:color w:val="2F5496" w:themeColor="accent5" w:themeShade="BF"/>
        </w:rPr>
        <w:t>Electrical utilities may be of assistance on certain topics related to EVSE installation, such as grid interconnection. Some electrical utilities and municipalities also have programs encouraging electric vehicle adoption. Specific contacts at a given organization will vary by the required subject matter expertise and by organization.</w:t>
      </w:r>
    </w:p>
    <w:p w14:paraId="28B1F28F" w14:textId="77777777" w:rsidR="00780C51" w:rsidRPr="006C1A86" w:rsidRDefault="00780C51" w:rsidP="00780C51">
      <w:pPr>
        <w:spacing w:after="0" w:line="240" w:lineRule="auto"/>
        <w:rPr>
          <w:rFonts w:ascii="Arial" w:hAnsi="Arial" w:cs="Arial"/>
          <w:color w:val="2F5496" w:themeColor="accent5" w:themeShade="BF"/>
        </w:rPr>
      </w:pPr>
    </w:p>
    <w:p w14:paraId="4DB3111E" w14:textId="77777777" w:rsidR="00780C51" w:rsidRPr="006C1A86" w:rsidRDefault="00780C51" w:rsidP="00780C51">
      <w:pPr>
        <w:pStyle w:val="ListParagraph"/>
        <w:numPr>
          <w:ilvl w:val="0"/>
          <w:numId w:val="4"/>
        </w:numPr>
        <w:contextualSpacing w:val="0"/>
        <w:rPr>
          <w:rFonts w:ascii="Arial" w:hAnsi="Arial" w:cs="Arial"/>
          <w:color w:val="2F5496" w:themeColor="accent5" w:themeShade="BF"/>
        </w:rPr>
      </w:pPr>
      <w:r w:rsidRPr="006C1A86">
        <w:rPr>
          <w:rFonts w:ascii="Arial" w:hAnsi="Arial" w:cs="Arial"/>
          <w:color w:val="2F5496" w:themeColor="accent5" w:themeShade="BF"/>
        </w:rPr>
        <w:t>I see there is a pre-application conference for the Clean Energy Fund on Feb. 20, at 12:30 p.m., in Olympia. Do you happen to know the estimated end time for the meeting?</w:t>
      </w:r>
    </w:p>
    <w:p w14:paraId="69A49C70" w14:textId="77777777" w:rsidR="00780C51" w:rsidRPr="006C1A86" w:rsidRDefault="00780C51" w:rsidP="00780C51">
      <w:pPr>
        <w:rPr>
          <w:rFonts w:ascii="Arial" w:hAnsi="Arial" w:cs="Arial"/>
          <w:color w:val="2F5496" w:themeColor="accent5" w:themeShade="BF"/>
        </w:rPr>
      </w:pPr>
      <w:r w:rsidRPr="006C1A86">
        <w:rPr>
          <w:rFonts w:ascii="Arial" w:hAnsi="Arial" w:cs="Arial"/>
          <w:color w:val="2F5496" w:themeColor="accent5" w:themeShade="BF"/>
        </w:rPr>
        <w:t>The Pre-Application Conference is expected to last approximately 1 hour, ending around 1:30 p.m. PT.</w:t>
      </w:r>
    </w:p>
    <w:p w14:paraId="6B126E25" w14:textId="77777777" w:rsidR="00780C51" w:rsidRPr="006C1A86" w:rsidRDefault="00780C51" w:rsidP="00780C51">
      <w:pPr>
        <w:pStyle w:val="ListParagraph"/>
        <w:numPr>
          <w:ilvl w:val="0"/>
          <w:numId w:val="4"/>
        </w:numPr>
        <w:contextualSpacing w:val="0"/>
        <w:rPr>
          <w:rFonts w:ascii="Arial" w:hAnsi="Arial" w:cs="Arial"/>
          <w:color w:val="2F5496" w:themeColor="accent5" w:themeShade="BF"/>
        </w:rPr>
      </w:pPr>
      <w:r w:rsidRPr="006C1A86">
        <w:rPr>
          <w:rFonts w:ascii="Arial" w:hAnsi="Arial" w:cs="Arial"/>
          <w:color w:val="2F5496" w:themeColor="accent5" w:themeShade="BF"/>
        </w:rPr>
        <w:t>I see there is a phone conference on February 20th. Is this something that would be informative if we are getting up to speed on the opportunities available through this program?</w:t>
      </w:r>
    </w:p>
    <w:p w14:paraId="3D186C24" w14:textId="77777777" w:rsidR="00780C51" w:rsidRPr="006C1A86" w:rsidRDefault="00780C51" w:rsidP="00780C51">
      <w:pPr>
        <w:rPr>
          <w:rFonts w:ascii="Arial" w:hAnsi="Arial" w:cs="Arial"/>
          <w:color w:val="2F5496" w:themeColor="accent5" w:themeShade="BF"/>
        </w:rPr>
      </w:pPr>
      <w:r w:rsidRPr="006C1A86">
        <w:rPr>
          <w:rFonts w:ascii="Arial" w:hAnsi="Arial" w:cs="Arial"/>
          <w:color w:val="2F5496" w:themeColor="accent5" w:themeShade="BF"/>
        </w:rPr>
        <w:t xml:space="preserve">The ETS Pre-Application Conference is intended to provide potential applicants with basic information concerning the program and an opportunity to ask questions about the contents of the RFA, Application, and other program materials. More information about attending is provided on the ETS </w:t>
      </w:r>
      <w:hyperlink r:id="rId23" w:history="1">
        <w:r w:rsidRPr="006C1A86">
          <w:rPr>
            <w:rStyle w:val="Hyperlink"/>
            <w:rFonts w:ascii="Arial" w:hAnsi="Arial" w:cs="Arial"/>
            <w:color w:val="2F5496" w:themeColor="accent5" w:themeShade="BF"/>
          </w:rPr>
          <w:t>webpage</w:t>
        </w:r>
      </w:hyperlink>
      <w:r w:rsidRPr="006C1A86">
        <w:rPr>
          <w:rFonts w:ascii="Arial" w:hAnsi="Arial" w:cs="Arial"/>
          <w:color w:val="2F5496" w:themeColor="accent5" w:themeShade="BF"/>
        </w:rPr>
        <w:t>.</w:t>
      </w:r>
    </w:p>
    <w:p w14:paraId="6CF96DBA" w14:textId="77777777" w:rsidR="00780C51" w:rsidRPr="006C1A86" w:rsidRDefault="00780C51" w:rsidP="00780C51">
      <w:pPr>
        <w:pStyle w:val="ListParagraph"/>
        <w:numPr>
          <w:ilvl w:val="0"/>
          <w:numId w:val="4"/>
        </w:numPr>
        <w:contextualSpacing w:val="0"/>
        <w:rPr>
          <w:rFonts w:ascii="Arial" w:hAnsi="Arial" w:cs="Arial"/>
          <w:color w:val="2F5496" w:themeColor="accent5" w:themeShade="BF"/>
        </w:rPr>
      </w:pPr>
      <w:r w:rsidRPr="006C1A86">
        <w:rPr>
          <w:rFonts w:ascii="Arial" w:hAnsi="Arial" w:cs="Arial"/>
          <w:color w:val="2F5496" w:themeColor="accent5" w:themeShade="BF"/>
        </w:rPr>
        <w:t>What would your typical incentive be for a hotel installing a charging station on their property?</w:t>
      </w:r>
    </w:p>
    <w:p w14:paraId="37F371CE" w14:textId="77777777" w:rsidR="00780C51" w:rsidRPr="006C1A86" w:rsidRDefault="00780C51" w:rsidP="00780C51">
      <w:pPr>
        <w:rPr>
          <w:rFonts w:ascii="Arial" w:hAnsi="Arial" w:cs="Arial"/>
          <w:color w:val="2F5496" w:themeColor="accent5" w:themeShade="BF"/>
        </w:rPr>
      </w:pPr>
      <w:r w:rsidRPr="006C1A86">
        <w:rPr>
          <w:rFonts w:ascii="Arial" w:hAnsi="Arial" w:cs="Arial"/>
          <w:color w:val="2F5496" w:themeColor="accent5" w:themeShade="BF"/>
        </w:rPr>
        <w:t>The ETS Program is a competitive grant solicitation, with primary eligible applicants being Local Governments and Retail Electric Utilities, as defined in the program RFA. As stated in RFA SECTION 1.4 FUNDING, the minimum award amount is $25,000 and the maximum award is $2,500,000.</w:t>
      </w:r>
    </w:p>
    <w:p w14:paraId="1161C1C8" w14:textId="77777777" w:rsidR="00780C51" w:rsidRPr="006C1A86" w:rsidRDefault="00780C51" w:rsidP="00780C51">
      <w:pPr>
        <w:pStyle w:val="ListParagraph"/>
        <w:numPr>
          <w:ilvl w:val="0"/>
          <w:numId w:val="4"/>
        </w:numPr>
        <w:spacing w:line="240" w:lineRule="auto"/>
        <w:contextualSpacing w:val="0"/>
        <w:rPr>
          <w:rFonts w:ascii="Arial" w:hAnsi="Arial" w:cs="Arial"/>
          <w:color w:val="2F5496" w:themeColor="accent5" w:themeShade="BF"/>
        </w:rPr>
      </w:pPr>
      <w:r w:rsidRPr="006C1A86">
        <w:rPr>
          <w:rFonts w:ascii="Arial" w:hAnsi="Arial" w:cs="Arial"/>
          <w:color w:val="2F5496" w:themeColor="accent5" w:themeShade="BF"/>
        </w:rPr>
        <w:t xml:space="preserve">Because the program allows for the installation of EVSE at workplaces and multi-unit dwellings, does the program allow for transfer of ownership from the applicant to a private sector party or must installations occur on property controlled by the applicant? If private parties are allowed, what commitments would be required and for what period of time in order to meet grant obligations? </w:t>
      </w:r>
    </w:p>
    <w:p w14:paraId="6E53D63E" w14:textId="77777777" w:rsidR="00780C51" w:rsidRPr="001902C9" w:rsidRDefault="00780C51" w:rsidP="00780C51">
      <w:pPr>
        <w:spacing w:line="240" w:lineRule="auto"/>
        <w:rPr>
          <w:rFonts w:ascii="Arial" w:hAnsi="Arial" w:cs="Arial"/>
          <w:color w:val="2F5496" w:themeColor="accent5" w:themeShade="BF"/>
        </w:rPr>
      </w:pPr>
      <w:r w:rsidRPr="006C1A86">
        <w:rPr>
          <w:rFonts w:ascii="Arial" w:hAnsi="Arial" w:cs="Arial"/>
          <w:color w:val="2F5496" w:themeColor="accent5" w:themeShade="BF"/>
        </w:rPr>
        <w:t>Commerce reco</w:t>
      </w:r>
      <w:r w:rsidRPr="001902C9">
        <w:rPr>
          <w:rFonts w:ascii="Arial" w:hAnsi="Arial" w:cs="Arial"/>
          <w:color w:val="2F5496" w:themeColor="accent5" w:themeShade="BF"/>
        </w:rPr>
        <w:t xml:space="preserve">gnizes that there may be a variety of equipment ownership arrangements that will allow applicants to best pursue ETS program objectives. A transfer of ownership may be considered acceptable, provided the plans conform with all other program requirements, fulfills contractual obligations, and that the arrangements allow for compliance with all applicable funding requirements. Please note that the primary Applicant must have full access to and </w:t>
      </w:r>
      <w:r w:rsidRPr="001902C9">
        <w:rPr>
          <w:rFonts w:ascii="Arial" w:hAnsi="Arial" w:cs="Arial"/>
          <w:color w:val="2F5496" w:themeColor="accent5" w:themeShade="BF"/>
        </w:rPr>
        <w:lastRenderedPageBreak/>
        <w:t xml:space="preserve">control over the EVSE for the initial five year operational window described in RFA SECTION 1.2 OBJECTIVES AND SCOPE OF WORK. Ownership arrangement is subject to contract negotiation and review as to compliance with contractual terms and conditions. Please note that Commerce’s standard procedure is that the primary applicant would have ownership of the assets. Other arrangements would have to be considered on a case by case basis. </w:t>
      </w:r>
    </w:p>
    <w:p w14:paraId="214EF865"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I’m debating whether to attend tomorrow’s conference in person or to call in. Do you know how many prospective applicants plan to attend?</w:t>
      </w:r>
    </w:p>
    <w:p w14:paraId="6D9BF582"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I'm not able to share specific numbers, however, I can say that it's my understanding that the majority of pre-application conference participants tend to participate virtually.</w:t>
      </w:r>
    </w:p>
    <w:p w14:paraId="13266C9F"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 live in Ephrata, WA and our school system is undergoing a building/renovation program as we passed a bond issuance last year. I would like to know if matching funds would be available to install charging systems for future electric school bus purchases.</w:t>
      </w:r>
    </w:p>
    <w:p w14:paraId="4421D4EC"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School districts are primary eligible applicants under the definition of “Local Governments” in the ETS RFA. School busses would fall under the “local government fleet” EVSE end use described in RFA SECTION 1.3 MINIMUM QUALIFICATIONS. It is worth noting that applicants are required to fill out a Utilization plan as described in RFA SECTION 3.2 A.viii UTILIZATION PLAN, and that that plan will be evaluated as part of the full application evaluation process.</w:t>
      </w:r>
    </w:p>
    <w:p w14:paraId="60F22E4F"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We are a public housing authority – considered an entity of government. The Tacoma Housing Authority was created pursuant to RCW 35.82.030 by the City of Tacoma and is considered an entity of government. As such, Tacoma Housing Authority does not have Articles of Incorporation and local governments do not file IRS Form 990. Tacoma Housing Authority is not required to have a City of Tacoma Business license. Tacoma Housing Authority does have a state tax registration number (UBI) 601138126. We would like to verify we are an eligible applicant.</w:t>
      </w:r>
    </w:p>
    <w:p w14:paraId="45E77EF7"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As stated in RFA SECTION 1.3 MINIMUM QUALIFICATIONS, primary eligible applicants include Local Governments. Among other types of local government, this includes: “…any other entities or authorities of local government in corporate form or otherwise.” RCW 35.82.030 states that public housing authorities are “a public body corporate and politic to be known as the "Housing Authority" of the city or county”, and are therefore primary eligible applicants for this award.</w:t>
      </w:r>
    </w:p>
    <w:p w14:paraId="5CFEA3A5"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Is the exclusion of the tribes due to an omission from our state statute or is this because of federal funds (requirements) are passed to the state?</w:t>
      </w:r>
    </w:p>
    <w:p w14:paraId="2FD8C995" w14:textId="77777777" w:rsidR="00780C51" w:rsidRPr="001902C9" w:rsidRDefault="00780C51" w:rsidP="00780C51">
      <w:pPr>
        <w:rPr>
          <w:rFonts w:ascii="Arial" w:hAnsi="Arial" w:cs="Arial"/>
          <w:strike/>
          <w:color w:val="2F5496" w:themeColor="accent5" w:themeShade="BF"/>
        </w:rPr>
      </w:pPr>
      <w:r w:rsidRPr="001902C9">
        <w:rPr>
          <w:rFonts w:ascii="Arial" w:hAnsi="Arial" w:cs="Arial"/>
          <w:strike/>
          <w:color w:val="2F5496" w:themeColor="accent5" w:themeShade="BF"/>
        </w:rPr>
        <w:t xml:space="preserve">The enabling budget proviso for the ETS program states that “Projects must be implemented by local governments, or by public and private electrical utilities that serve retail customers in the state. Eligible parties may partner with other public and private sector research organizations and businesses in applying for funding.” </w:t>
      </w:r>
    </w:p>
    <w:p w14:paraId="2ABA2E66" w14:textId="77777777" w:rsidR="00780C51" w:rsidRPr="001902C9" w:rsidRDefault="00780C51" w:rsidP="00780C51">
      <w:pPr>
        <w:rPr>
          <w:rFonts w:ascii="Arial" w:hAnsi="Arial" w:cs="Arial"/>
          <w:color w:val="2F5496" w:themeColor="accent5" w:themeShade="BF"/>
        </w:rPr>
      </w:pPr>
      <w:r w:rsidRPr="001902C9">
        <w:rPr>
          <w:rFonts w:ascii="Arial" w:hAnsi="Arial" w:cs="Arial"/>
          <w:strike/>
          <w:color w:val="2F5496" w:themeColor="accent5" w:themeShade="BF"/>
        </w:rPr>
        <w:t>Tribes are not primary eligible applicants for this award because they are neither local governments nor retail electric utilities. Tribes can still partner with primary eligible applicants to apply for this grant.</w:t>
      </w:r>
    </w:p>
    <w:p w14:paraId="4392CDA8"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lastRenderedPageBreak/>
        <w:t>Update 4/6/2020:</w:t>
      </w:r>
      <w:r w:rsidRPr="001902C9">
        <w:rPr>
          <w:color w:val="2F5496" w:themeColor="accent5" w:themeShade="BF"/>
        </w:rPr>
        <w:t xml:space="preserve"> </w:t>
      </w:r>
      <w:r w:rsidRPr="001902C9">
        <w:rPr>
          <w:rFonts w:ascii="Arial" w:hAnsi="Arial" w:cs="Arial"/>
          <w:color w:val="2F5496" w:themeColor="accent5" w:themeShade="BF"/>
        </w:rPr>
        <w:t xml:space="preserve">Pursuant to the updates discussed in our answer to Question #24, the enabling budget proviso for the ETS program now states that “Projects must be implemented by local governments, federally recognized tribal governments, or by public and private electrical utilities that serve retail customers in the state. Eligible parties may partner with other public and private sector research organizations and businesses in applying for funding.” </w:t>
      </w:r>
    </w:p>
    <w:p w14:paraId="71E86E42"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Federally Recognized Tribal Governments are now primary eligible applicants for the ETS program. Tribes can still partner with primary eligible applicants to apply for this grant.</w:t>
      </w:r>
    </w:p>
    <w:p w14:paraId="7CDADE12"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Are there plans to address the disparity?</w:t>
      </w:r>
    </w:p>
    <w:p w14:paraId="738661BB"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Commerce is currently pursuing options within the capital budget that would allow Tribes to participate in ETS and/or the other affected grant program, the Energy Efficiency &amp; Solar Program, as primary eligible applicants.</w:t>
      </w:r>
    </w:p>
    <w:p w14:paraId="05603341"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4/6/2020 Update: Pursuant to the updates discussed in our answer to Question #24, Federally Recognized Tribal Governments are now identified as primary eligible applicants for the ETS program. Please see the RFA for more information.</w:t>
      </w:r>
    </w:p>
    <w:p w14:paraId="569B02E1"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Will outreach be completed prior to the letter of Intent date?</w:t>
      </w:r>
    </w:p>
    <w:p w14:paraId="13CA4968"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It is not our intent to complete all outreach prior to the Letter of Intent Deadline. It is worth noting that Applicants will not be held to the content of the letter of intent, and the project may change prior to submitting the Application.</w:t>
      </w:r>
    </w:p>
    <w:p w14:paraId="526EE230"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Will some of the outreach generate awareness and increase questions? Will the deadline be extended?</w:t>
      </w:r>
    </w:p>
    <w:p w14:paraId="02E82940"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Possibly. The impact to the application timeline will need to be evaluated.</w:t>
      </w:r>
    </w:p>
    <w:p w14:paraId="1F833F9D"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 xml:space="preserve">Do we need to have a project site to be eligible? </w:t>
      </w:r>
    </w:p>
    <w:p w14:paraId="092C28D5"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A general sense of the specific site(s)/address(es) where the project is to be located is needed to complete our evaluation of project site information, and reviewers will also evaluate risk and readiness related to site selection when they score the relevant evaluation criteria. We recognize that it may be necessary in the case of certain projects to change sites as a project develops, but project site characteristics scored during the evaluation process must remain substantially similar to the sites described in the application.</w:t>
      </w:r>
    </w:p>
    <w:p w14:paraId="7E271FBC"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Can site feasibility studies be included in the project?</w:t>
      </w:r>
    </w:p>
    <w:p w14:paraId="3DF95D84"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Given that ETS monies are from the capital budget, the funding is primarily intended to pay for the actual infrastructure and having the equipment installed. Inclusion of a feasibility study would seem to indicate that the Applicant is not certain that a project will be viable or that infrastructure funding would be deployed; projects at this early stage of development are not a fit for ETS funding.</w:t>
      </w:r>
    </w:p>
    <w:p w14:paraId="22857249"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Is Reduced Match 1 Eligibility utilizing median income confined at the smallest level to City Limits? What about subareas like Census Tract for larger cities like Seattle?</w:t>
      </w:r>
    </w:p>
    <w:p w14:paraId="747E327C"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lastRenderedPageBreak/>
        <w:t xml:space="preserve">For Match Option 1, we cannot permit sub-area data at this time. This is due to the median income dataset utilized being at the municipal level. </w:t>
      </w:r>
    </w:p>
    <w:p w14:paraId="2863A254"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It is worth noting that Match Option 2 Environmental Health Disparity data does operate at the census tract level. Additionally, reduced match options should be viewed as an extraordinary opportunity for an exceptional circumstance, and they have been calibrated to align with geographic differences experienced by communities across the state.</w:t>
      </w:r>
    </w:p>
    <w:p w14:paraId="11573DEB"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Is there a Word of PDF document available with all of the pre-application and full application questions shown</w:t>
      </w:r>
    </w:p>
    <w:p w14:paraId="5AEF2C32"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Not at this time. All questions can be viewed via ZoomGrants.</w:t>
      </w:r>
    </w:p>
    <w:p w14:paraId="247F737A"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What restrictions are there on match source?</w:t>
      </w:r>
    </w:p>
    <w:p w14:paraId="487DC5B8"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Federal funds cannot be matched with other federal funds. Additionally, Eligible Applicants must provide a minimum of 51% of the required match. Eligible Applicant partners who do not have undue influence over the project and are giving funds in the form of a grant or loan may contribute to the minimum of 51% of the required match. Eligible Applicant partners who may have limited influence and limited ownership interest in the project may provide the remaining 49%. More information on match requirements can be found in RFA SECTION 1.4 FUNDING.</w:t>
      </w:r>
    </w:p>
    <w:p w14:paraId="1C16F8BD"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Is it a requirement for these charging stations to be public-facing? We’re interested in putting them into our fleet maintenance center.</w:t>
      </w:r>
    </w:p>
    <w:p w14:paraId="38513CC8"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A charging station accessible to a government fleet would meet the Program’s project end-use requirement (listed as item #5 under the heading “Project” in RFA SECTION 1.3 MINIMUM QUALIFICATIONS), as it would fall under “b) Local Government Fleet Vehicles”. “Public Charging” is the only end use that has a requirement to provide 24/7 unrestricted public access.</w:t>
      </w:r>
    </w:p>
    <w:p w14:paraId="1F95A17F"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If providing a plugin for an electric ferry, we don’t have to provide access to the public?</w:t>
      </w:r>
    </w:p>
    <w:p w14:paraId="4A613AA3"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For the project end-use requirement (listed as item #5 under the heading “Project” in RFA SECTION 1.3 MINIMUM QUALIFICATIONS), “Port – Marine or Aircraft” is one of six of the eligible end uses. “Public Charging” is the only end use that has a requirement to provide 24/7 unrestricted public access.</w:t>
      </w:r>
    </w:p>
    <w:p w14:paraId="0F134D38"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Regarding innovation in implementation or deployment strategies, if an eligible primary applicant uses a leasing model, but the service provider (not the primary applicant) holds the title to the charging station, is this situation eligible?</w:t>
      </w:r>
    </w:p>
    <w:p w14:paraId="72861430"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Lease agreements as described may be permissible under the ETS program, provided they meet all other minimum qualifications outlined in the RFA, and provided all subcontracts under the award align with Commerce standard terms and conditions (including flow-down). Particular attention should be paid to match requirements described in RFA SECTION 1.4 FUNDING and to the requirement stated in the response to question 38, above, that the primary Applicant must have full access to and control over the EVSE for the initial five year operational window described in RFA SECTION 1.2 OBJECTIVES AND SCOPE OF WORK.</w:t>
      </w:r>
    </w:p>
    <w:p w14:paraId="1CC17425"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Can the host property apply lease amount as match?</w:t>
      </w:r>
    </w:p>
    <w:p w14:paraId="449168E9"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lastRenderedPageBreak/>
        <w:t>“Purchase or rental of real estate” is listed as a non-eligible cost in SECTION 1.2 OBJECTIVES AND SCOPE OF WORK. Match provided by the applicant must be for eligible cost items.</w:t>
      </w:r>
    </w:p>
    <w:p w14:paraId="197298B3"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Regarding state funding versus federal, can I specify whether I want state or federal funding?</w:t>
      </w:r>
    </w:p>
    <w:p w14:paraId="5C58CDA3"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Yes. There is a section to designate desired funding source, but there is no guarantee of which funding will be awarded.</w:t>
      </w:r>
    </w:p>
    <w:p w14:paraId="55D5D269"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Are state agencies eligible?</w:t>
      </w:r>
    </w:p>
    <w:p w14:paraId="06F5EB14"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A state agency cannot be the primary applicant, but can partner with primary eligible applicants to apply.</w:t>
      </w:r>
    </w:p>
    <w:p w14:paraId="23480515"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Where can I find the total funding available and state and funding availability split?</w:t>
      </w:r>
    </w:p>
    <w:p w14:paraId="1CF7AD8E"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The federal and state funding split is described in RFA SECTION 1.4.</w:t>
      </w:r>
    </w:p>
    <w:p w14:paraId="64C9D988"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If for a local government fleet, is there flexibility on the requirement that DCFC be compatible with both ChAdeMO and CCS?</w:t>
      </w:r>
    </w:p>
    <w:p w14:paraId="2EAB120C"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The RFA has been revised. Equipment minimum qualification #5 in RFA SECTION 1.3 MINIMUM QUALIFICATIONS has been adjusted so it only applies to projects serving the “Public Charging” end use. All projects claiming that end use on the corresponding application question(s) must include dual-protocol charging, compatible with both CHAdeMO and CCS charging ports, for level 3 charging (or DCFC) EVSE. Projects that will not provide “Public Charging” as defined in RFA SECTION 1.7 DEFINITIONS are not required to provide dual-protocol charging for level 3 charging (or DCFC) EVSE.</w:t>
      </w:r>
    </w:p>
    <w:p w14:paraId="73E00F74"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For dual port requirement, do fast chargers have to be able to charge two vehicles simultaneously or just have dual port?</w:t>
      </w:r>
    </w:p>
    <w:p w14:paraId="75BDBEB6"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The charger must have dual port, but does not have to be able to charge two vehicles simultaneously.</w:t>
      </w:r>
    </w:p>
    <w:p w14:paraId="0B4A49C7"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Can lead applicants submit multiple letters of interest? March 5 is not much time for partnerships development.</w:t>
      </w:r>
    </w:p>
    <w:p w14:paraId="3BFCFBEF"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Please see our response to Q&amp;A Question #22, above. Applicants that intend to submit multiple Applications should submit one LOI corresponding to each application to be submitted.</w:t>
      </w:r>
    </w:p>
    <w:p w14:paraId="7359D2D8"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Will the applicant be responsible for meeting governors executive order 05-05 requirements or will DOC be doing this?</w:t>
      </w:r>
    </w:p>
    <w:p w14:paraId="57FA8C32"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Applicants/Grantees will be responsible for meeting executive order 05-05 requirements, as well as federal Section 106 requirements if the Applicant receives federal funds.</w:t>
      </w:r>
    </w:p>
    <w:p w14:paraId="41E15160"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For project minimum qualifications, does this exclude rail operations and support equipment?</w:t>
      </w:r>
    </w:p>
    <w:p w14:paraId="7BFBA956"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As currently written, yes, rail operations and support equipment are excluded.</w:t>
      </w:r>
    </w:p>
    <w:p w14:paraId="009C43CE"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lastRenderedPageBreak/>
        <w:t>Does in-kind labor count as match? We have the crew and electricians on staff for installation purposes and would like to know whether their standard time charged would count as match dollars.</w:t>
      </w:r>
    </w:p>
    <w:p w14:paraId="05E1D72F"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Potentially, but such costs would have to relate directly to the installation of what Commerce is paying for. Beyond that, no.</w:t>
      </w:r>
    </w:p>
    <w:p w14:paraId="4408D308"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Will Commerce pursue this award amount per project for this RFA? “$100,000 or less to 20 awards, and $2,500,000 to two awards”</w:t>
      </w:r>
    </w:p>
    <w:p w14:paraId="2194BEA5"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 xml:space="preserve">As stated, Commerce reserves the right to limit awards of $100,000 or less to 20 awards, and $2,500,000 to two awards. We are not committing to doing so at this time.  </w:t>
      </w:r>
    </w:p>
    <w:p w14:paraId="62628745"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For a battery electric marine vessel as mentioned earlier, would funding only be able to be applied to shoreside charging infrastructure, as opposed to systems on board a vessel?</w:t>
      </w:r>
    </w:p>
    <w:p w14:paraId="78EC5F45"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The funding cannot go toward rolling stock, so funding could only be applied to shoreside charging infrastructure in this case.</w:t>
      </w:r>
    </w:p>
    <w:p w14:paraId="1F0FC7EA"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What is the project completion timeline?</w:t>
      </w:r>
    </w:p>
    <w:p w14:paraId="3B751A93"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Updated 4/6/2020: As stated on page one of the RFA, the estimated time period for contract is 5/26/2021–5/25/2024.</w:t>
      </w:r>
    </w:p>
    <w:p w14:paraId="16894695"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From the time the applications are due, when are the applications evaluated?</w:t>
      </w:r>
    </w:p>
    <w:p w14:paraId="2B65790E"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Updated 4/6/2020: We expect all applications to be evaluated by 11/19/2020.</w:t>
      </w:r>
    </w:p>
    <w:p w14:paraId="6EE1C707"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Is there an expectation for multi-users? What is being sought here?</w:t>
      </w:r>
    </w:p>
    <w:p w14:paraId="669D598B"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The ETS RFA describes a priority of aligning with the policy objective of serving multiple end-users or users. For example, the chargers outside of Commerce, those are available to government fleet, employees, and the public. These chargers see high levels of utilization.</w:t>
      </w:r>
    </w:p>
    <w:p w14:paraId="3D810908"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On the reduced match requirements, how tight are the requirements?</w:t>
      </w:r>
    </w:p>
    <w:p w14:paraId="1A444216"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There is no flexibility on reduced match requirements.</w:t>
      </w:r>
    </w:p>
    <w:p w14:paraId="47A81916"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What is the education requirement?</w:t>
      </w:r>
    </w:p>
    <w:p w14:paraId="16D74BB1"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 xml:space="preserve">This is a component of the application, and applicants can use that narrative response to describe an outreach and education strategy that is a fit for their project and community. The goal of including an outreach and education component is in part to help encourage utilization of funded projects, and in part to align with the objective of driving increased equity of access to EVSE. </w:t>
      </w:r>
    </w:p>
    <w:p w14:paraId="5C7F91F3"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Lacey, Olympia, Tumwater, Thurston County have an environmental action plan they’re working on. Can they piggyback on their campaign for the local campaign for the outreach component?</w:t>
      </w:r>
    </w:p>
    <w:p w14:paraId="250F1083"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lastRenderedPageBreak/>
        <w:t>There needs to be a genuine effort and not just passing comments. Include additional detail in the Education/Outreach Plan, and refer to the RFA for further guidance on how the Education /Outreach plan will be evaluated. They should also keep in mind policy objectives such as serving highly impacted and vulnerable communities and innovating to reduce barriers.</w:t>
      </w:r>
    </w:p>
    <w:p w14:paraId="4DF94762"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Is there an expectation for in person presentation of our projects prior to awarding of funds or is it solely based on the pre application and application submitted by May 5th?</w:t>
      </w:r>
    </w:p>
    <w:p w14:paraId="6F34539D"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There is no intention at this time to conduct in-person interviews, and only a review of applications is planned at this time. Commerce reserves the right to request additional information or conduct in-person presentations as necessary.</w:t>
      </w:r>
    </w:p>
    <w:p w14:paraId="4578A625"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Listening to Electrification of Transportation Systems (ETS) Grant phone webinar but can’t bring it up on skype, can you send me the PowerPoint presentation?</w:t>
      </w:r>
    </w:p>
    <w:p w14:paraId="408AB9E0"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The Bidder’s Conference PowerPoint and a full recording of the webinar will be uploaded to the website soon.</w:t>
      </w:r>
    </w:p>
    <w:p w14:paraId="25099773"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Will you be providing a list of attendees from the webinar to all applicants or via the website? / Will the call-in/sign-in list be posted?</w:t>
      </w:r>
    </w:p>
    <w:p w14:paraId="7C03DEC8"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 xml:space="preserve">A partial list of virtual and in-person meeting attendees is on page 1 of this document. This information is based on publicly available and voluntarily provided information. Please email </w:t>
      </w:r>
      <w:hyperlink r:id="rId24" w:history="1">
        <w:r w:rsidRPr="001902C9">
          <w:rPr>
            <w:rStyle w:val="Hyperlink"/>
            <w:rFonts w:ascii="Arial" w:hAnsi="Arial" w:cs="Arial"/>
            <w:color w:val="2F5496" w:themeColor="accent5" w:themeShade="BF"/>
          </w:rPr>
          <w:t>CEF@commerce.wa.gov</w:t>
        </w:r>
      </w:hyperlink>
      <w:r w:rsidRPr="001902C9">
        <w:rPr>
          <w:rFonts w:ascii="Arial" w:hAnsi="Arial" w:cs="Arial"/>
          <w:color w:val="2F5496" w:themeColor="accent5" w:themeShade="BF"/>
        </w:rPr>
        <w:t xml:space="preserve"> with name and organization represented if you are interested in being included</w:t>
      </w:r>
    </w:p>
    <w:p w14:paraId="3B868DDA"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Will you be providing any feedback to applicants based on the Letters of Intent, prior to the application due date? Will any applicants who submit letters of intent be turned down for continuing to the full application?</w:t>
      </w:r>
    </w:p>
    <w:p w14:paraId="33FCACF4"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Commerce will not provide any feedback to applicants based on non-binding letters of intent. If an Applicant’s letter of intent is deemed to be incomplete, their Letter of Intent may be considered non-responsive and the Applicant may be ineligible to complete an Application corresponding to that Letter of Intent. To ensure alignment with Letter of Intent informational requirements, applicants should utilize the letter of intent template provided in the Attachments section of the ZoomGrants Application Portal (at the link provided in RFA SECTION 2.1 RFA COORDINATOR)</w:t>
      </w:r>
    </w:p>
    <w:p w14:paraId="7F83CE6D"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 xml:space="preserve">Can a project include several locations if each location qualifies for the same match, even if the individual locations are in different communities (i.e. a network of chargers along the same route)? </w:t>
      </w:r>
    </w:p>
    <w:p w14:paraId="7E9317DE"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There is no requirement for this program that project sites be located in the same municipality. As stated in the RFA, all comprising project sites must meet the minimum criterion for a given Reduced Match Option for that project to be eligible for reduced match.</w:t>
      </w:r>
    </w:p>
    <w:p w14:paraId="6C078B9E"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On that note, can an individual entity submit more than one application if the projects are distinctly different?</w:t>
      </w:r>
    </w:p>
    <w:p w14:paraId="788422DB"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Please see our response to Q&amp;A Question #22, above.</w:t>
      </w:r>
    </w:p>
    <w:p w14:paraId="003A3282"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lastRenderedPageBreak/>
        <w:t>If an entity intends to submit more than one application, does each potential application require an individual letter of intent?</w:t>
      </w:r>
    </w:p>
    <w:p w14:paraId="53B05DF2"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Yes.</w:t>
      </w:r>
    </w:p>
    <w:p w14:paraId="3010FA03" w14:textId="77777777" w:rsidR="00780C51" w:rsidRPr="001902C9" w:rsidRDefault="00780C51" w:rsidP="00780C51">
      <w:pPr>
        <w:pStyle w:val="ListParagraph"/>
        <w:numPr>
          <w:ilvl w:val="0"/>
          <w:numId w:val="4"/>
        </w:numPr>
        <w:contextualSpacing w:val="0"/>
        <w:rPr>
          <w:rFonts w:ascii="Arial" w:hAnsi="Arial" w:cs="Arial"/>
          <w:color w:val="2F5496" w:themeColor="accent5" w:themeShade="BF"/>
        </w:rPr>
      </w:pPr>
      <w:r w:rsidRPr="001902C9">
        <w:rPr>
          <w:rFonts w:ascii="Arial" w:hAnsi="Arial" w:cs="Arial"/>
          <w:color w:val="2F5496" w:themeColor="accent5" w:themeShade="BF"/>
        </w:rPr>
        <w:t>When will you stop accepting questions?</w:t>
      </w:r>
    </w:p>
    <w:p w14:paraId="165418F0"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 xml:space="preserve">Updated 4/6/2020: As stated in RFA SECTION 2.2 ESTIMATED SCHEDULE OF PROCUREMENT ACTIVITIES, we intend to accept questions for this Q&amp;A until </w:t>
      </w:r>
      <w:r w:rsidRPr="001902C9">
        <w:rPr>
          <w:rFonts w:ascii="Arial" w:hAnsi="Arial"/>
          <w:color w:val="2F5496" w:themeColor="accent5" w:themeShade="BF"/>
        </w:rPr>
        <w:t>05/26/2020</w:t>
      </w:r>
      <w:r w:rsidRPr="001902C9">
        <w:rPr>
          <w:rFonts w:ascii="Arial" w:hAnsi="Arial" w:cs="Arial"/>
          <w:color w:val="2F5496" w:themeColor="accent5" w:themeShade="BF"/>
        </w:rPr>
        <w:t xml:space="preserve"> for Local Governments and Retail Electric Utilities and 07/24/2020 for Federally Recognized Tribal Governments.</w:t>
      </w:r>
    </w:p>
    <w:p w14:paraId="334D6C7B" w14:textId="77777777" w:rsidR="00780C51" w:rsidRPr="00DC75BE" w:rsidRDefault="00780C51" w:rsidP="00780C51">
      <w:pPr>
        <w:pStyle w:val="ListParagraph"/>
        <w:numPr>
          <w:ilvl w:val="0"/>
          <w:numId w:val="4"/>
        </w:numPr>
        <w:contextualSpacing w:val="0"/>
        <w:rPr>
          <w:rFonts w:ascii="Arial" w:hAnsi="Arial" w:cs="Arial"/>
          <w:color w:val="1F4E79" w:themeColor="accent1" w:themeShade="80"/>
        </w:rPr>
      </w:pPr>
      <w:r w:rsidRPr="001902C9">
        <w:rPr>
          <w:rFonts w:ascii="Arial" w:hAnsi="Arial" w:cs="Arial"/>
          <w:color w:val="2F5496" w:themeColor="accent5" w:themeShade="BF"/>
        </w:rPr>
        <w:t>I haven’t actively been tracking the development of the WA ETS program but saw that it recently opened. Do you have any backgr</w:t>
      </w:r>
      <w:r w:rsidRPr="00DC75BE">
        <w:rPr>
          <w:rFonts w:ascii="Arial" w:hAnsi="Arial" w:cs="Arial"/>
          <w:color w:val="1F4E79" w:themeColor="accent1" w:themeShade="80"/>
        </w:rPr>
        <w:t>ound on how the eligibility requirements were determined? Was there a public stakeholder input process?</w:t>
      </w:r>
    </w:p>
    <w:p w14:paraId="3C47747D"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There was a lengthy public stakeholder input process for the ETS program, including the release of a preliminary draft of the RFA in January 2019, a public meeting in April 2019, and review and incorporation of over 100 stakeholder comments into the final version of the RFA. This process heavily informed eligibility criteria for the program.</w:t>
      </w:r>
    </w:p>
    <w:p w14:paraId="1C4CB608" w14:textId="77777777" w:rsidR="00780C51" w:rsidRPr="00DC75BE" w:rsidRDefault="00780C51" w:rsidP="00780C51">
      <w:pPr>
        <w:pStyle w:val="ListParagraph"/>
        <w:numPr>
          <w:ilvl w:val="0"/>
          <w:numId w:val="4"/>
        </w:numPr>
        <w:contextualSpacing w:val="0"/>
        <w:rPr>
          <w:rFonts w:ascii="Arial" w:hAnsi="Arial" w:cs="Arial"/>
          <w:color w:val="1F4E79" w:themeColor="accent1" w:themeShade="80"/>
        </w:rPr>
      </w:pPr>
      <w:r w:rsidRPr="00DC75BE">
        <w:rPr>
          <w:rFonts w:ascii="Arial" w:hAnsi="Arial" w:cs="Arial"/>
          <w:color w:val="1F4E79" w:themeColor="accent1" w:themeShade="80"/>
        </w:rPr>
        <w:t>Can the match be in the form of maintaining the equipment?</w:t>
      </w:r>
    </w:p>
    <w:p w14:paraId="45F0037C"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According to RFA SECTION 1.4 FUNDING, Funds claimed as match must be eligible costs as described in SECTION 1.2, Objective and Scope of Work. One of the ineligible project costs listed in SECTION 1.2 is “Maintenance costs”.</w:t>
      </w:r>
    </w:p>
    <w:p w14:paraId="23C276D4" w14:textId="77777777" w:rsidR="00780C51" w:rsidRPr="00DC75BE" w:rsidRDefault="00780C51" w:rsidP="00780C51">
      <w:pPr>
        <w:pStyle w:val="ListParagraph"/>
        <w:numPr>
          <w:ilvl w:val="0"/>
          <w:numId w:val="4"/>
        </w:numPr>
        <w:contextualSpacing w:val="0"/>
        <w:rPr>
          <w:rFonts w:ascii="Arial" w:hAnsi="Arial" w:cs="Arial"/>
          <w:color w:val="1F4E79" w:themeColor="accent1" w:themeShade="80"/>
        </w:rPr>
      </w:pPr>
      <w:r w:rsidRPr="00DC75BE">
        <w:rPr>
          <w:rFonts w:ascii="Arial" w:hAnsi="Arial" w:cs="Arial"/>
          <w:color w:val="1F4E79" w:themeColor="accent1" w:themeShade="80"/>
        </w:rPr>
        <w:t>Can the match be in the form of purchasing EVs?</w:t>
      </w:r>
    </w:p>
    <w:p w14:paraId="76556121"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According to RFA SECTION 1.4 FUNDING, Funds claimed as match must be eligible costs as described in SECTION 1.2, Objective and Scope of Work. One of the ineligible project costs listed in SECTION 1.2 is “Rolling stock”.</w:t>
      </w:r>
    </w:p>
    <w:p w14:paraId="447C1F15" w14:textId="77777777" w:rsidR="00780C51" w:rsidRPr="00DC75BE" w:rsidRDefault="00780C51" w:rsidP="00780C51">
      <w:pPr>
        <w:pStyle w:val="ListParagraph"/>
        <w:numPr>
          <w:ilvl w:val="0"/>
          <w:numId w:val="4"/>
        </w:numPr>
        <w:contextualSpacing w:val="0"/>
        <w:rPr>
          <w:rFonts w:ascii="Arial" w:hAnsi="Arial" w:cs="Arial"/>
          <w:color w:val="1F4E79" w:themeColor="accent1" w:themeShade="80"/>
        </w:rPr>
      </w:pPr>
      <w:r w:rsidRPr="00DC75BE">
        <w:rPr>
          <w:rFonts w:ascii="Arial" w:hAnsi="Arial" w:cs="Arial"/>
          <w:color w:val="1F4E79" w:themeColor="accent1" w:themeShade="80"/>
        </w:rPr>
        <w:t xml:space="preserve">What does it mean to be “expected to be utilized upon installation”?  If it’s a fleet, does the fleet have to already own a certain # of EVs per charger?  </w:t>
      </w:r>
    </w:p>
    <w:p w14:paraId="68C13847"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 xml:space="preserve">As stated in RFA SECTION 4.2 B.iii.c Utilization, which concerns the evaluation of utilization plans, Applicants are expected to demonstrate known and forecasted use of proposed projects in order to minimize risk of stranded assets and to accelerate market transformation efforts in Washington. </w:t>
      </w:r>
    </w:p>
    <w:p w14:paraId="5798D8DA"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Because of the wide range of eligible projects and the competitive nature of the award, there is no single formula to receive top points on the utilization plan, however Applicants are encouraged to seek creative solutions to boost utilization. Applicants may also benefit from reviewing the priority electrification policy areas listed in RFA SECTION 1.2 OBJECTIVES AND SCOPE OF WORK.</w:t>
      </w:r>
    </w:p>
    <w:p w14:paraId="1DC413F7" w14:textId="77777777" w:rsidR="00780C51" w:rsidRPr="00DC75BE" w:rsidRDefault="00780C51" w:rsidP="00780C51">
      <w:pPr>
        <w:pStyle w:val="ListParagraph"/>
        <w:numPr>
          <w:ilvl w:val="0"/>
          <w:numId w:val="4"/>
        </w:numPr>
        <w:contextualSpacing w:val="0"/>
        <w:rPr>
          <w:rFonts w:ascii="Arial" w:hAnsi="Arial" w:cs="Arial"/>
          <w:color w:val="1F4E79" w:themeColor="accent1" w:themeShade="80"/>
        </w:rPr>
      </w:pPr>
      <w:r w:rsidRPr="00DC75BE">
        <w:rPr>
          <w:rFonts w:ascii="Arial" w:hAnsi="Arial" w:cs="Arial"/>
          <w:color w:val="1F4E79" w:themeColor="accent1" w:themeShade="80"/>
        </w:rPr>
        <w:t>If we have a utility company plans to spend a “certain amount” on EVSE over the course of three years, and they are a partner to the lead applicant, can their “certain amount” be considered as match?</w:t>
      </w:r>
    </w:p>
    <w:p w14:paraId="063EAC5F"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lastRenderedPageBreak/>
        <w:t>See response to Q&amp;A Question #85 below for requirements about match funding sources. Additionally, according to RFA SECTION 1.4 FUNDING, “Match funds must be cash that is committed and available at the time of contract execution…</w:t>
      </w:r>
      <w:r w:rsidRPr="00DC75BE">
        <w:rPr>
          <w:color w:val="1F4E79" w:themeColor="accent1" w:themeShade="80"/>
        </w:rPr>
        <w:t xml:space="preserve"> </w:t>
      </w:r>
      <w:r w:rsidRPr="00DC75BE">
        <w:rPr>
          <w:rFonts w:ascii="Arial" w:hAnsi="Arial" w:cs="Arial"/>
          <w:color w:val="1F4E79" w:themeColor="accent1" w:themeShade="80"/>
        </w:rPr>
        <w:t>Funds claimed as match must be eligible costs as described in SECTION 1.2, Objective and Scope of Work.” The description of what constitutes eligible costs in SECTION 1.2 includes the following: “All project costs must be necessary for and directly connected to the acquisition and installation or upgrading of the electric vehicle charging station.”</w:t>
      </w:r>
    </w:p>
    <w:p w14:paraId="2D67707C"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In short, in addition to aligning with the response to Q&amp;A Question #85, any match funds provided by the utility in question must also be committed to the project at the time of contract execution and must be for costs that are necessary for and directly connected to the project.</w:t>
      </w:r>
    </w:p>
    <w:p w14:paraId="745312D2" w14:textId="77777777" w:rsidR="00780C51" w:rsidRPr="00DC75BE" w:rsidRDefault="00780C51" w:rsidP="00780C51">
      <w:pPr>
        <w:pStyle w:val="ListParagraph"/>
        <w:numPr>
          <w:ilvl w:val="0"/>
          <w:numId w:val="4"/>
        </w:numPr>
        <w:contextualSpacing w:val="0"/>
        <w:rPr>
          <w:rFonts w:ascii="Arial" w:hAnsi="Arial" w:cs="Arial"/>
          <w:color w:val="1F4E79" w:themeColor="accent1" w:themeShade="80"/>
        </w:rPr>
      </w:pPr>
      <w:r w:rsidRPr="00DC75BE">
        <w:rPr>
          <w:rFonts w:ascii="Arial" w:hAnsi="Arial" w:cs="Arial"/>
          <w:color w:val="1F4E79" w:themeColor="accent1" w:themeShade="80"/>
        </w:rPr>
        <w:t>Does the lead applicant have to provide any of the match funding?</w:t>
      </w:r>
    </w:p>
    <w:p w14:paraId="3205F0F6" w14:textId="77777777" w:rsidR="00780C51" w:rsidRPr="00DC75BE" w:rsidRDefault="00780C51" w:rsidP="00780C51">
      <w:pPr>
        <w:pStyle w:val="BodyTextIndent"/>
        <w:tabs>
          <w:tab w:val="clear" w:pos="0"/>
          <w:tab w:val="clear" w:pos="3240"/>
          <w:tab w:val="clear" w:pos="3600"/>
          <w:tab w:val="clear" w:pos="4320"/>
          <w:tab w:val="clear" w:pos="5040"/>
          <w:tab w:val="clear" w:pos="5760"/>
          <w:tab w:val="clear" w:pos="6480"/>
          <w:tab w:val="clear" w:pos="7200"/>
        </w:tabs>
        <w:ind w:left="0" w:right="720"/>
        <w:rPr>
          <w:rFonts w:cs="Arial"/>
          <w:color w:val="1F4E79" w:themeColor="accent1" w:themeShade="80"/>
          <w:sz w:val="22"/>
          <w:szCs w:val="22"/>
        </w:rPr>
      </w:pPr>
      <w:r w:rsidRPr="00DC75BE">
        <w:rPr>
          <w:rFonts w:cs="Arial"/>
          <w:color w:val="1F4E79" w:themeColor="accent1" w:themeShade="80"/>
          <w:sz w:val="22"/>
          <w:szCs w:val="22"/>
        </w:rPr>
        <w:t xml:space="preserve">As stated in RFA SECTION 1.4 FUNDING, “Eligible Applicants must provide a minimum of 51% of the required match. Eligible Applicant partners who do not have undue influence over the project and are giving funds in the form of a grant or loan may contribute to the minimum of 51% of the required match. Eligible Applicant partners who may have limited influence and limited ownership interest in the project may provide the remaining 49%.” </w:t>
      </w:r>
    </w:p>
    <w:p w14:paraId="28F9CBC9" w14:textId="77777777" w:rsidR="00780C51" w:rsidRPr="00DC75BE" w:rsidRDefault="00780C51" w:rsidP="00780C51">
      <w:pPr>
        <w:pStyle w:val="ListParagraph"/>
        <w:numPr>
          <w:ilvl w:val="0"/>
          <w:numId w:val="4"/>
        </w:numPr>
        <w:spacing w:before="240"/>
        <w:contextualSpacing w:val="0"/>
        <w:rPr>
          <w:rFonts w:ascii="Arial" w:hAnsi="Arial" w:cs="Arial"/>
          <w:color w:val="1F4E79" w:themeColor="accent1" w:themeShade="80"/>
        </w:rPr>
      </w:pPr>
      <w:r w:rsidRPr="00DC75BE">
        <w:rPr>
          <w:rFonts w:ascii="Arial" w:hAnsi="Arial" w:cs="Arial"/>
          <w:color w:val="1F4E79" w:themeColor="accent1" w:themeShade="80"/>
        </w:rPr>
        <w:t>We are WA State Criminal Justice Training Commission serving all Law Enforcement Agencies. Question 1- can you apply for a 100% grant for a 12units level 3 charging station, 150k. That can be utilized by the public and agency use.</w:t>
      </w:r>
    </w:p>
    <w:p w14:paraId="120B9D43"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Commerce cannot advise on the suitability of specific projects for an award. Per RCW 43.101.020, the WA State Criminal Justice Training Commission is a state commission. Only Local Governments and Retail Electric Utilities as defined in Section 1.7 of the RFA are primary eligible applicants for this award. The WA State Criminal Justice Training Commission would have to partner with a primary eligible applicant to be eligible for this award. Furthermore, Applicants should read RFA SECTION 1.4 FUNDING for more information on match requirements and RFA SECTION 1.3 MINIMUM QUALIFICATIONS for more information on minimum eligible end uses.</w:t>
      </w:r>
    </w:p>
    <w:p w14:paraId="629CD281" w14:textId="77777777" w:rsidR="00780C51" w:rsidRPr="00DC75BE" w:rsidRDefault="00780C51" w:rsidP="00780C51">
      <w:pPr>
        <w:pStyle w:val="ListParagraph"/>
        <w:numPr>
          <w:ilvl w:val="0"/>
          <w:numId w:val="4"/>
        </w:numPr>
        <w:spacing w:before="240"/>
        <w:contextualSpacing w:val="0"/>
        <w:rPr>
          <w:rFonts w:ascii="Arial" w:hAnsi="Arial" w:cs="Arial"/>
          <w:color w:val="1F4E79" w:themeColor="accent1" w:themeShade="80"/>
        </w:rPr>
      </w:pPr>
      <w:r w:rsidRPr="00DC75BE">
        <w:rPr>
          <w:rFonts w:ascii="Arial" w:hAnsi="Arial" w:cs="Arial"/>
          <w:color w:val="1F4E79" w:themeColor="accent1" w:themeShade="80"/>
        </w:rPr>
        <w:t>The City will be applying for a grant and I have already submitted our LOI. I  assume that once it is uploaded via the Zoom Grant portal, you consider that submitted and there is nothing else required on my part to submit it?</w:t>
      </w:r>
    </w:p>
    <w:p w14:paraId="35447D6C"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Correct. Letters of Intent (LOI) will be judged to be submitted on time if they are uploaded in the ZoomGrants portal at the moment of the LOI deadline. Once they have uploaded their completed LOI, Applicants may make revisions and upload a new version until the LOI deadline. Applicants should not upload, delete, or revise their LOI after the LOI deadline..</w:t>
      </w:r>
    </w:p>
    <w:p w14:paraId="1F8C7AEB" w14:textId="77777777" w:rsidR="00780C51" w:rsidRPr="00DC75BE" w:rsidRDefault="00780C51" w:rsidP="00780C51">
      <w:pPr>
        <w:pStyle w:val="ListParagraph"/>
        <w:numPr>
          <w:ilvl w:val="0"/>
          <w:numId w:val="4"/>
        </w:numPr>
        <w:spacing w:before="240"/>
        <w:contextualSpacing w:val="0"/>
        <w:rPr>
          <w:rFonts w:ascii="Arial" w:hAnsi="Arial" w:cs="Arial"/>
          <w:color w:val="1F4E79" w:themeColor="accent1" w:themeShade="80"/>
        </w:rPr>
      </w:pPr>
      <w:r w:rsidRPr="00DC75BE">
        <w:rPr>
          <w:rFonts w:ascii="Arial" w:hAnsi="Arial" w:cs="Arial"/>
          <w:color w:val="1F4E79" w:themeColor="accent1" w:themeShade="80"/>
        </w:rPr>
        <w:t>Also, I am a little confused about the requirement to furnish Staff Resumes. Would this be for the staff listed in the LOI? Other than managing the project for the City, I will not be performing any assigned work and bring no skills to the table as far as it pertains to EV charging stations.</w:t>
      </w:r>
    </w:p>
    <w:p w14:paraId="6B544550"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lastRenderedPageBreak/>
        <w:t>We are not requesting resumes upon submission of the Letter of Intent. To submit a Letter of Intent, Applicants should fill out the Letter of Intent template word document available under the “Attachments” tab of the ZoomGrants application portal and upload it in the appropriate location under the “Attachments” tab of the ZoomGrants application portal.</w:t>
      </w:r>
    </w:p>
    <w:p w14:paraId="1AF3F3E5"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 xml:space="preserve">Resumes are requested for the full application submission. Applicants should refer to RFA SECTIONS 3.2 B.i.b and 3.2 D.ii for more information. There is no standard format for resumes, and resumes uploaded should be of staff included in the Applicant’s response to the question entitled </w:t>
      </w:r>
      <w:r w:rsidRPr="00DC75BE">
        <w:rPr>
          <w:rFonts w:ascii="Arial" w:hAnsi="Arial" w:cs="Arial"/>
          <w:b/>
          <w:color w:val="1F4E79" w:themeColor="accent1" w:themeShade="80"/>
        </w:rPr>
        <w:t>Staff Qualifications and Experience</w:t>
      </w:r>
      <w:r w:rsidRPr="00DC75BE">
        <w:rPr>
          <w:rFonts w:ascii="Arial" w:hAnsi="Arial" w:cs="Arial"/>
          <w:color w:val="1F4E79" w:themeColor="accent1" w:themeShade="80"/>
        </w:rPr>
        <w:t xml:space="preserve"> under the Management Proposal.</w:t>
      </w:r>
    </w:p>
    <w:p w14:paraId="1BE045FA" w14:textId="77777777" w:rsidR="00780C51" w:rsidRPr="00DC75BE" w:rsidRDefault="00780C51" w:rsidP="00780C51">
      <w:pPr>
        <w:pStyle w:val="ListParagraph"/>
        <w:numPr>
          <w:ilvl w:val="0"/>
          <w:numId w:val="4"/>
        </w:numPr>
        <w:spacing w:before="240"/>
        <w:contextualSpacing w:val="0"/>
        <w:rPr>
          <w:rFonts w:ascii="Arial" w:hAnsi="Arial" w:cs="Arial"/>
          <w:color w:val="1F4E79" w:themeColor="accent1" w:themeShade="80"/>
        </w:rPr>
      </w:pPr>
      <w:r w:rsidRPr="00DC75BE">
        <w:rPr>
          <w:rFonts w:ascii="Arial" w:hAnsi="Arial" w:cs="Arial"/>
          <w:color w:val="1F4E79" w:themeColor="accent1" w:themeShade="80"/>
        </w:rPr>
        <w:t>Finally, I have a letter from our Retail Electric Utility (PSE) to submit as an attachment but it’s from last summer when I started to prepare for applying for this grant. Can I use that letter as there have been no changes or should I have PSE send me a new letter with a more recent date?</w:t>
      </w:r>
    </w:p>
    <w:p w14:paraId="05E93AA0" w14:textId="77777777" w:rsidR="00780C51" w:rsidRPr="00DC75BE" w:rsidRDefault="00780C51" w:rsidP="00780C51">
      <w:pPr>
        <w:pStyle w:val="ListParagraph"/>
        <w:spacing w:line="240" w:lineRule="auto"/>
        <w:ind w:left="0"/>
        <w:contextualSpacing w:val="0"/>
        <w:rPr>
          <w:rFonts w:ascii="Arial" w:hAnsi="Arial" w:cs="Arial"/>
          <w:color w:val="1F4E79" w:themeColor="accent1" w:themeShade="80"/>
        </w:rPr>
      </w:pPr>
      <w:r w:rsidRPr="00DC75BE">
        <w:rPr>
          <w:rFonts w:ascii="Arial" w:hAnsi="Arial" w:cs="Arial"/>
          <w:color w:val="1F4E79" w:themeColor="accent1" w:themeShade="80"/>
        </w:rPr>
        <w:t>There is no requirement that the Letter from the Retail Electric Utility (a component of the Full Application, see RFA SECTION 3.2 D.i) be sent within a given date range. An Applicant’s Letter from the Retail Electric Utility should reflect the scope of their project.</w:t>
      </w:r>
    </w:p>
    <w:p w14:paraId="5F7AC572" w14:textId="77777777" w:rsidR="00780C51" w:rsidRPr="00DC75BE" w:rsidRDefault="00780C51" w:rsidP="00780C51">
      <w:pPr>
        <w:pStyle w:val="ListParagraph"/>
        <w:numPr>
          <w:ilvl w:val="0"/>
          <w:numId w:val="4"/>
        </w:numPr>
        <w:spacing w:before="240"/>
        <w:contextualSpacing w:val="0"/>
        <w:rPr>
          <w:rFonts w:ascii="Arial" w:hAnsi="Arial" w:cs="Arial"/>
          <w:color w:val="1F4E79" w:themeColor="accent1" w:themeShade="80"/>
        </w:rPr>
      </w:pPr>
      <w:r w:rsidRPr="00DC75BE">
        <w:rPr>
          <w:rFonts w:ascii="Arial" w:hAnsi="Arial" w:cs="Arial"/>
          <w:color w:val="1F4E79" w:themeColor="accent1" w:themeShade="80"/>
        </w:rPr>
        <w:t xml:space="preserve">The Port of Seattle (the Port) would like to apply for Commerce’s Electrification of Transportation grant and seeks your guidance on the category that best fits our proposal.  The Port meets the minimum qualifications for both Local Government and Port definitions in Section 1.3 of the ETS-RFA. The port definition specifically includes ground support equipment (GSE) for ports. The Port seeks grant funding to install 10 fast charging stations to be used by transportation network companies (TNCs) such as Lyft and Uber vehicles that transport passengers to and from Sea-Tac Airport.  TNCs serving the airport must adhere to strict environmental limits set by the Port. We believe this project would fall under the Port category (5.f on page 6 of the ETS-RFA) because these chargers would be installed and operated by the Port, similar to our eGSE charging stations on the airfield. Only TNCs would have access to these chargers. This is consistent with the Port restricting access to the airfield chargers to the airlines and baggage companies (owners of the eGSE). Could you please confirm that our project would qualify under the port category (5f)?  </w:t>
      </w:r>
    </w:p>
    <w:p w14:paraId="03F57E89"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The minimum qualification for Projects in RFA SECTION 1.3 #5 refers to the end uses of the EVSE, and the inclusion of GSE is intended to be illustrative and not limiting. EVSE installations that serves TNCs that in turn serve a port would qualify as “Port – Marine or Aircraft” under this minimum qualification.</w:t>
      </w:r>
    </w:p>
    <w:p w14:paraId="7C03F242" w14:textId="77777777" w:rsidR="00780C51" w:rsidRPr="00DC75BE" w:rsidRDefault="00780C51" w:rsidP="00780C51">
      <w:pPr>
        <w:pStyle w:val="ListParagraph"/>
        <w:numPr>
          <w:ilvl w:val="0"/>
          <w:numId w:val="4"/>
        </w:numPr>
        <w:spacing w:before="240"/>
        <w:contextualSpacing w:val="0"/>
        <w:rPr>
          <w:rFonts w:ascii="Arial" w:hAnsi="Arial" w:cs="Arial"/>
          <w:color w:val="1F4E79" w:themeColor="accent1" w:themeShade="80"/>
        </w:rPr>
      </w:pPr>
      <w:r w:rsidRPr="00DC75BE">
        <w:rPr>
          <w:rFonts w:ascii="Arial" w:hAnsi="Arial" w:cs="Arial"/>
          <w:color w:val="1F4E79" w:themeColor="accent1" w:themeShade="80"/>
        </w:rPr>
        <w:t>Do we need more specifics on the infrastructure such as the approximate battery size etc.?</w:t>
      </w:r>
    </w:p>
    <w:p w14:paraId="3E71B96D"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While Applicants are not required to submit technical details beyond the minimum qualifications listed in RFA SECTION 1.3, a greater degree of technical specificity will typically help Applicants to demonstrate their readiness to undertake the proposed project and help reviewers to understand the impact of the proposed grant funding.</w:t>
      </w:r>
    </w:p>
    <w:p w14:paraId="2BE3505C" w14:textId="77777777" w:rsidR="00780C51" w:rsidRPr="00DC75BE" w:rsidRDefault="00780C51" w:rsidP="00780C51">
      <w:pPr>
        <w:pStyle w:val="ListParagraph"/>
        <w:numPr>
          <w:ilvl w:val="0"/>
          <w:numId w:val="4"/>
        </w:numPr>
        <w:spacing w:before="240"/>
        <w:contextualSpacing w:val="0"/>
        <w:rPr>
          <w:rFonts w:ascii="Arial" w:hAnsi="Arial" w:cs="Arial"/>
          <w:color w:val="1F4E79" w:themeColor="accent1" w:themeShade="80"/>
        </w:rPr>
      </w:pPr>
      <w:r w:rsidRPr="00DC75BE">
        <w:rPr>
          <w:rFonts w:ascii="Arial" w:hAnsi="Arial" w:cs="Arial"/>
          <w:color w:val="1F4E79" w:themeColor="accent1" w:themeShade="80"/>
        </w:rPr>
        <w:lastRenderedPageBreak/>
        <w:t>Can the utility receive multiple awards as we are trying cover an array of use cases and technologies?</w:t>
      </w:r>
    </w:p>
    <w:p w14:paraId="4A8E9105"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The RFA does not specifically preclude one entity from receiving multiple awards. Applicants should be aware of Commerce’s response to Q&amp;A Question #22, above.</w:t>
      </w:r>
    </w:p>
    <w:p w14:paraId="5A5E3E1D" w14:textId="77777777" w:rsidR="00780C51" w:rsidRPr="00DC75BE" w:rsidRDefault="00780C51" w:rsidP="00780C51">
      <w:pPr>
        <w:pStyle w:val="ListParagraph"/>
        <w:numPr>
          <w:ilvl w:val="0"/>
          <w:numId w:val="4"/>
        </w:numPr>
        <w:spacing w:before="240"/>
        <w:contextualSpacing w:val="0"/>
        <w:rPr>
          <w:rFonts w:ascii="Arial" w:hAnsi="Arial" w:cs="Arial"/>
          <w:color w:val="1F4E79" w:themeColor="accent1" w:themeShade="80"/>
        </w:rPr>
      </w:pPr>
      <w:r w:rsidRPr="00DC75BE">
        <w:rPr>
          <w:rFonts w:ascii="Arial" w:hAnsi="Arial" w:cs="Arial"/>
          <w:color w:val="1F4E79" w:themeColor="accent1" w:themeShade="80"/>
        </w:rPr>
        <w:t>Are there strict definitions for the categories listed in Question 2.03 of the Letter of Intent template? We want to make sure we choose the right category.</w:t>
      </w:r>
    </w:p>
    <w:p w14:paraId="6C81BB72"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Responses to this question will be used to decide on evaluation groupings as described in SECTION 4.2 EVALUATION BREAKDOWN. There are no strict definitions for the categories offered by Commerce, and Applicants should choose the potential grouping that they believe best aligns with their proposed project. If the Applicant feels that none of the existing groupings accurately describes their primary project type, the Applicant may choose “Other” and self-describe their primary project type. Commerce reserves the right to determine which application grouping best describes a particular project, to change application groupings after the closure of the application window, or not to utilize evaluation groupings for its evaluation of applications for this program.</w:t>
      </w:r>
    </w:p>
    <w:p w14:paraId="4800E73F" w14:textId="77777777" w:rsidR="00780C51" w:rsidRPr="00DC75BE" w:rsidRDefault="00780C51" w:rsidP="00780C51">
      <w:pPr>
        <w:pStyle w:val="ListParagraph"/>
        <w:numPr>
          <w:ilvl w:val="0"/>
          <w:numId w:val="4"/>
        </w:numPr>
        <w:spacing w:before="240"/>
        <w:contextualSpacing w:val="0"/>
        <w:rPr>
          <w:rFonts w:ascii="Arial" w:hAnsi="Arial" w:cs="Arial"/>
          <w:color w:val="1F4E79" w:themeColor="accent1" w:themeShade="80"/>
        </w:rPr>
      </w:pPr>
      <w:r w:rsidRPr="00DC75BE">
        <w:rPr>
          <w:rFonts w:ascii="Arial" w:hAnsi="Arial" w:cs="Arial"/>
          <w:color w:val="1F4E79" w:themeColor="accent1" w:themeShade="80"/>
        </w:rPr>
        <w:t>Regarding the match for the grant, can it be an “in kind” such as labor or material?</w:t>
      </w:r>
    </w:p>
    <w:p w14:paraId="65B425D7"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Please see Commerce’s response to Q&amp;A Question #63. As noted in RFA SECTION 1.4 FUNDING, Funds claimed as match must be eligible costs as described in SECTION 1.2, Objective and Scope of Work.</w:t>
      </w:r>
    </w:p>
    <w:p w14:paraId="4B1C8DA9" w14:textId="77777777" w:rsidR="00780C51" w:rsidRPr="00DC75BE" w:rsidRDefault="00780C51" w:rsidP="00780C51">
      <w:pPr>
        <w:pStyle w:val="ListParagraph"/>
        <w:numPr>
          <w:ilvl w:val="0"/>
          <w:numId w:val="4"/>
        </w:numPr>
        <w:spacing w:before="240"/>
        <w:contextualSpacing w:val="0"/>
        <w:rPr>
          <w:rFonts w:ascii="Arial" w:hAnsi="Arial" w:cs="Arial"/>
          <w:color w:val="1F4E79" w:themeColor="accent1" w:themeShade="80"/>
        </w:rPr>
      </w:pPr>
      <w:r w:rsidRPr="00DC75BE">
        <w:rPr>
          <w:rFonts w:ascii="Arial" w:hAnsi="Arial" w:cs="Arial"/>
          <w:color w:val="1F4E79" w:themeColor="accent1" w:themeShade="80"/>
        </w:rPr>
        <w:t>Can you send me any examples of resumes you’re asking for with the letter of intent?</w:t>
      </w:r>
    </w:p>
    <w:p w14:paraId="21735D18"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Please see the response to Q&amp;A Question #88, above.</w:t>
      </w:r>
    </w:p>
    <w:p w14:paraId="61C72D3F"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Amongst our group of partners, we are still determining who can take on the role of “lead applicant”, is there any harm in submitting two LOIs (with different lead agencies identified) but describing the same project. Point being, our partners/project description will be the same, but the lead might differ.</w:t>
      </w:r>
    </w:p>
    <w:p w14:paraId="311FA753"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 xml:space="preserve">Applicants may submit two LOIs describing the same project. If possible, Applicants should note where LOIs covering the same project have been submitted, as this will affect application review planning. </w:t>
      </w:r>
    </w:p>
    <w:p w14:paraId="2662E209"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 xml:space="preserve">NOTE: Applicants should be aware that this same principal does not apply to submitted Applications, and should read the response to Q&amp;A Question #22 above and RFA SECTION 2.11 MOST FAVORABLE TERMS for more context. </w:t>
      </w:r>
    </w:p>
    <w:p w14:paraId="3A8646AA"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Which document(s) are required for submission for the Letter of Intent deadline on 3/5?</w:t>
      </w:r>
    </w:p>
    <w:p w14:paraId="4C51C7F7"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 xml:space="preserve">Applicants should fill out and upload the Letter of Intent template available in the ZoomGrants Application Portal (linked in RFA SECTION 2.1 RFA COORDINATOR). The Letter of Intent is the first document requested under the “Attachments” tab of the Application, and the only </w:t>
      </w:r>
      <w:r w:rsidRPr="00DC75BE">
        <w:rPr>
          <w:rFonts w:ascii="Arial" w:hAnsi="Arial" w:cs="Arial"/>
          <w:color w:val="1F4E79" w:themeColor="accent1" w:themeShade="80"/>
        </w:rPr>
        <w:lastRenderedPageBreak/>
        <w:t>document that Applicants are required to upload by the Letter of Intent deadline listed in RFA SECTION 2.2 ESTIMATED SCHEDULE OF PROCUREMENT ACTIVITIES. Other document requests listed under the “Attachments” tab are attachments required for submission upon the Applications deadline.</w:t>
      </w:r>
    </w:p>
    <w:p w14:paraId="78713142" w14:textId="77777777" w:rsidR="00780C51" w:rsidRPr="00DC75BE" w:rsidRDefault="00780C51" w:rsidP="00780C51">
      <w:pPr>
        <w:pStyle w:val="ListParagraph"/>
        <w:numPr>
          <w:ilvl w:val="0"/>
          <w:numId w:val="4"/>
        </w:numPr>
        <w:tabs>
          <w:tab w:val="left" w:pos="990"/>
        </w:tabs>
        <w:spacing w:before="240"/>
        <w:rPr>
          <w:rFonts w:ascii="Arial" w:hAnsi="Arial" w:cs="Arial"/>
          <w:color w:val="1F4E79" w:themeColor="accent1" w:themeShade="80"/>
        </w:rPr>
      </w:pPr>
      <w:r w:rsidRPr="00DC75BE">
        <w:rPr>
          <w:rFonts w:ascii="Arial" w:hAnsi="Arial" w:cs="Arial"/>
          <w:color w:val="1F4E79" w:themeColor="accent1" w:themeShade="80"/>
        </w:rPr>
        <w:t>Is there any harm to submitting a Letter of Intent if we’re not certain whether we’ll be an eligible applicant?</w:t>
      </w:r>
    </w:p>
    <w:p w14:paraId="297BABB6" w14:textId="77777777" w:rsidR="00780C51" w:rsidRPr="00DC75BE" w:rsidRDefault="00780C51" w:rsidP="00780C51">
      <w:pPr>
        <w:tabs>
          <w:tab w:val="left" w:pos="2520"/>
        </w:tabs>
        <w:spacing w:before="240"/>
        <w:rPr>
          <w:rFonts w:ascii="Arial" w:hAnsi="Arial" w:cs="Arial"/>
          <w:color w:val="1F4E79" w:themeColor="accent1" w:themeShade="80"/>
        </w:rPr>
      </w:pPr>
      <w:r w:rsidRPr="00DC75BE">
        <w:rPr>
          <w:rFonts w:ascii="Arial" w:hAnsi="Arial" w:cs="Arial"/>
          <w:color w:val="1F4E79" w:themeColor="accent1" w:themeShade="80"/>
        </w:rPr>
        <w:t xml:space="preserve">When in doubt, Applicants should submit a Letter of Intent. To be eligible to submit an application to this solicitation, the Applicant must first submit a Letter of Intent using the procedure outlined in SECTION 2.4 LETTER OF INTENT REQUIRED of this RFA, by the Letter of Intent deadline stated in SECTION 2.2 ESTIMATED SCHEDULE OF PROCUREMENT ACTIVITIES. </w:t>
      </w:r>
    </w:p>
    <w:p w14:paraId="08772CFA" w14:textId="77777777" w:rsidR="00780C51" w:rsidRPr="00DC75BE" w:rsidRDefault="00780C51" w:rsidP="00780C51">
      <w:pPr>
        <w:pStyle w:val="ListParagraph"/>
        <w:numPr>
          <w:ilvl w:val="0"/>
          <w:numId w:val="4"/>
        </w:numPr>
        <w:tabs>
          <w:tab w:val="left" w:pos="990"/>
        </w:tabs>
        <w:spacing w:before="240"/>
        <w:rPr>
          <w:rFonts w:ascii="Arial" w:hAnsi="Arial" w:cs="Arial"/>
          <w:color w:val="1F4E79" w:themeColor="accent1" w:themeShade="80"/>
        </w:rPr>
      </w:pPr>
      <w:r w:rsidRPr="00DC75BE">
        <w:rPr>
          <w:rFonts w:ascii="Arial" w:hAnsi="Arial" w:cs="Arial"/>
          <w:color w:val="1F4E79" w:themeColor="accent1" w:themeShade="80"/>
        </w:rPr>
        <w:t>New paving is not an eligible cost, but is replacement/repair paving (for example, pavement cut for installation) an eligible cost?</w:t>
      </w:r>
    </w:p>
    <w:p w14:paraId="5F052DB6"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Yes, where necessary for and directly connected to the acquisition and installation or upgrading of the electric vehicle charging station. Applicants should note that all project costs are subject to contract negotiation and COMMERCE is under no obligation to fund all requested project costs when determining an award.</w:t>
      </w:r>
    </w:p>
    <w:p w14:paraId="64B7967A"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Is pavement cutting an eligible cost?</w:t>
      </w:r>
    </w:p>
    <w:p w14:paraId="7214ADB8"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Yes, where necessary for and directly connected to the acquisition and installation or upgrading of the electric vehicle charging station. Construction materials and personnel costs related to installation are listed as eligible costs. Applicants should note that all project costs are subject to contract negotiation and COMMERCE is under no obligation to fund all requested project costs when determining an award.</w:t>
      </w:r>
    </w:p>
    <w:p w14:paraId="1E595F29"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Can the EV charging station warranty be included in the eligible cost?</w:t>
      </w:r>
    </w:p>
    <w:p w14:paraId="65A47059"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If the selected EVSE requires that an Applicant pay an extra fee to meet the minimum equipment warranty requirement described in RFA SECTION 1.3 MINIMUM QUALIFICATIONS, Applicants may include that cost in their application narrative questions and project cost proposal. Applicants should note that all project costs are subject to contract negotiation and COMMERCE is under no obligation to fund all requested project costs when determining an award.</w:t>
      </w:r>
    </w:p>
    <w:p w14:paraId="7076F8F8" w14:textId="77777777" w:rsidR="00780C51" w:rsidRPr="00DC75BE" w:rsidRDefault="00780C51" w:rsidP="00780C51">
      <w:pPr>
        <w:pStyle w:val="ListParagraph"/>
        <w:numPr>
          <w:ilvl w:val="0"/>
          <w:numId w:val="19"/>
        </w:numPr>
        <w:spacing w:before="240"/>
        <w:rPr>
          <w:rFonts w:ascii="Arial" w:hAnsi="Arial" w:cs="Arial"/>
          <w:color w:val="1F4E79" w:themeColor="accent1" w:themeShade="80"/>
        </w:rPr>
      </w:pPr>
      <w:r w:rsidRPr="00DC75BE">
        <w:rPr>
          <w:rFonts w:ascii="Arial" w:hAnsi="Arial" w:cs="Arial"/>
          <w:color w:val="1F4E79" w:themeColor="accent1" w:themeShade="80"/>
        </w:rPr>
        <w:t xml:space="preserve">EVSE electrical supply cost is an eligible cost, I’m assuming this is the cost for the utility to bring the necessary power components (transformers, conductor, etc) to the EV charging site?  </w:t>
      </w:r>
    </w:p>
    <w:p w14:paraId="1F3A3EDA"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 xml:space="preserve">The exact language used in RFA SECTION 1.2 OBJECTIVES AND SCOPE OF WORK is “EVSE electrical connectivity”. Please see our response to Q&amp;A Question #20, above. </w:t>
      </w:r>
    </w:p>
    <w:p w14:paraId="1889F54F"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lastRenderedPageBreak/>
        <w:t>And, “Electric supply costs” – an ineligible cost, would be the actual monthly ongoing costs to run the equipment?</w:t>
      </w:r>
    </w:p>
    <w:p w14:paraId="7F948F71"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Ongoing electric supply costs and equipment maintenance costs are listed as ineligible costs. Any other ongoing costs would need to be discussed as part of the contracting process, but would likely be ineligible as ETS monies are intended for the purchase and installation of EVSE. Applicants should note that all project costs are subject to contract negotiation and COMMERCE is under no obligation to fund all requested project costs when determining an award.</w:t>
      </w:r>
    </w:p>
    <w:p w14:paraId="014FE7A7"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I can’t tell if you would consider or not a solar project at our road maintenance/solid waste properties in Snohomish County for the Public Works Department. If we were to do a solar project that helped charge electric vehicle charging stations and also provided a minimum of backup power with possible battery storage for us to be able to operate during emergencies. This would allow us to do work to keep open transportation lifeline routes during emergencies if power is out. Would this grant cover that kind of a project?</w:t>
      </w:r>
    </w:p>
    <w:p w14:paraId="7176A00C" w14:textId="77777777" w:rsidR="00780C51" w:rsidRPr="00DC75BE" w:rsidRDefault="00780C51" w:rsidP="00780C51">
      <w:pPr>
        <w:tabs>
          <w:tab w:val="left" w:pos="810"/>
        </w:tabs>
        <w:spacing w:before="240"/>
        <w:rPr>
          <w:rFonts w:ascii="Arial" w:hAnsi="Arial" w:cs="Arial"/>
          <w:color w:val="1F4E79" w:themeColor="accent1" w:themeShade="80"/>
        </w:rPr>
      </w:pPr>
      <w:r w:rsidRPr="00DC75BE">
        <w:rPr>
          <w:rFonts w:ascii="Arial" w:hAnsi="Arial" w:cs="Arial"/>
          <w:color w:val="1F4E79" w:themeColor="accent1" w:themeShade="80"/>
        </w:rPr>
        <w:t>The Electrification of Transportation Systems program specifically funds projects that include the purchase and installation of Electric Vehicle Supply Equipment, which is defined as “a unit of fueling infrastructure that supplies electric energy for the recharging of electric vehicles.” (see RFA SECTION 1.7 DEFINITIONS).</w:t>
      </w:r>
      <w:r w:rsidRPr="00DC75BE">
        <w:rPr>
          <w:color w:val="1F4E79" w:themeColor="accent1" w:themeShade="80"/>
        </w:rPr>
        <w:t xml:space="preserve"> </w:t>
      </w:r>
      <w:r w:rsidRPr="00DC75BE">
        <w:rPr>
          <w:rFonts w:ascii="Arial" w:hAnsi="Arial" w:cs="Arial"/>
          <w:color w:val="1F4E79" w:themeColor="accent1" w:themeShade="80"/>
        </w:rPr>
        <w:t xml:space="preserve">Each project must install a minimum of one, dual-plug connector EVSE, unless the Applicant can demonstrate no dual-plug EVSE is available that can serve the purpose of the project while meeting this requirement (see RFA SECTION 1.3 MINIMUM QUALIFICATIONS). </w:t>
      </w:r>
    </w:p>
    <w:p w14:paraId="6EE6D6E8" w14:textId="77777777" w:rsidR="00780C51" w:rsidRPr="00DC75BE" w:rsidRDefault="00780C51" w:rsidP="00780C51">
      <w:pPr>
        <w:tabs>
          <w:tab w:val="left" w:pos="810"/>
        </w:tabs>
        <w:spacing w:before="240"/>
        <w:rPr>
          <w:rFonts w:ascii="Arial" w:hAnsi="Arial" w:cs="Arial"/>
          <w:color w:val="1F4E79" w:themeColor="accent1" w:themeShade="80"/>
        </w:rPr>
      </w:pPr>
      <w:r w:rsidRPr="00DC75BE">
        <w:rPr>
          <w:rFonts w:ascii="Arial" w:hAnsi="Arial" w:cs="Arial"/>
          <w:color w:val="1F4E79" w:themeColor="accent1" w:themeShade="80"/>
        </w:rPr>
        <w:t xml:space="preserve">That being said, it is a strategic priority of the program to support projects that are designed and implemented to address peak demand and grid impacts that otherwise would have resulted from the operation of the EVSE. Such load management strategies, including hardware such as solar and battery storage, are listed eligible expenditures. Applicants pursuing such a project should take care to explain in detail how load mitigation strategies are to be integrated with the EVSE, both operationally and in terms of project infrastructure (hardware and software as needed), as well as any other pertinent details. Applicants should note that all project costs are subject to contract negotiation and COMMERCE is under no obligation to fund all requested project costs when determining an award (RFA SECTION 1.2 OBJECTIVES AND SCOPE OF WORK). </w:t>
      </w:r>
    </w:p>
    <w:p w14:paraId="28CF72E6"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Is it required to be part of a network or just capable of supplying the data requested?</w:t>
      </w:r>
    </w:p>
    <w:p w14:paraId="3977BBB2"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There is no strict requirement that the EVSE be connected to a network, however the Grantee must be able to readily produce the requested data upon Commerce’s request (unless EVSE is not able to provide this information per the appropriate exemption process outlined in RFA SECTION 1.3 MINIMUM QUALIFICATIONS).</w:t>
      </w:r>
    </w:p>
    <w:p w14:paraId="416862D9"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Can the charging stations we install have a card swipe or do they need to be free?</w:t>
      </w:r>
    </w:p>
    <w:p w14:paraId="5CA4E7BC"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Please see Commerce’ answer to Q&amp;A Question #3, above.</w:t>
      </w:r>
    </w:p>
    <w:p w14:paraId="3D5B0D62"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lastRenderedPageBreak/>
        <w:t>If our utility has multiple projects we would like to apply for, can we submit separate letters of intent for multiple projects? Or should we include all potential projects under one letter of intent? Let us know what would be the best approach here.</w:t>
      </w:r>
    </w:p>
    <w:p w14:paraId="691D4CA1"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Please see our response to Q&amp;A Question #22, above. Applicants that intend to submit multiple Applications should submit one LOI corresponding to each application to be submitted.</w:t>
      </w:r>
    </w:p>
    <w:p w14:paraId="2411A923"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If our projects involve partnerships with community partners or customers, will Tacoma Public Utilities have to own the infrastructure being applied for or can the customer/community partner own the infrastructure? Can you provide some guidance around ownership?</w:t>
      </w:r>
    </w:p>
    <w:p w14:paraId="549265BA"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Please see our response to Q&amp;A Question #38, above.</w:t>
      </w:r>
    </w:p>
    <w:p w14:paraId="0F556B63"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I do not see a signature line on the LOI. Is that required when submitting the LOI this week?</w:t>
      </w:r>
    </w:p>
    <w:p w14:paraId="5B056E22"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No.</w:t>
      </w:r>
    </w:p>
    <w:p w14:paraId="7A5EFEE4"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I just want to confirm that our Letter of Intent is received by Department of Commerce for the Electrification of Transportation Systems grant. I went to the ZoomGrants application portal and uploaded the LOI on the “attachments” tab. Is that sufficient? I didn’t see an option to submit or send.</w:t>
      </w:r>
    </w:p>
    <w:p w14:paraId="29656A4A"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 xml:space="preserve">Due to the expected volume of applications, we cannot provide individual confirmation of Letter of Intent (LOI) receipt for individual Applicants prior to the LOI deadline. After the LOI deadline, Commerce will send a confirmation to all Applicants who have successfully submitted a Letter of Intent. Commerce will consider a Letter of Intent to be submitted if it is uploaded to the Letter of Intent document request under the Attachments tab of the ZoomGrants application portal, at the time of the deadline listed in RFA SECTION 2.2 ESTIMATED SCHEDULE OF PROCUREMENT ACTIVITIES. Applicants should </w:t>
      </w:r>
      <w:r w:rsidRPr="00DC75BE">
        <w:rPr>
          <w:rFonts w:ascii="Arial" w:hAnsi="Arial" w:cs="Arial"/>
          <w:b/>
          <w:color w:val="1F4E79" w:themeColor="accent1" w:themeShade="80"/>
        </w:rPr>
        <w:t>not</w:t>
      </w:r>
      <w:r w:rsidRPr="00DC75BE">
        <w:rPr>
          <w:rFonts w:ascii="Arial" w:hAnsi="Arial" w:cs="Arial"/>
          <w:color w:val="1F4E79" w:themeColor="accent1" w:themeShade="80"/>
        </w:rPr>
        <w:t xml:space="preserve"> edit or delete their Letter of Intent after the LOI deadline. Any deletions of or changes to the Letter of Intent upload after the LOI deadline may result in disqualification of that LOI.</w:t>
      </w:r>
    </w:p>
    <w:p w14:paraId="32AB5D4B"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Will you please define electric supply costs vs. load management?</w:t>
      </w:r>
    </w:p>
    <w:p w14:paraId="7326D9DD"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For the purposes of eligible and ineligible costs described in RFA SECTION 1.2 OBJECTIVES AND SCOPE OF WORK:</w:t>
      </w:r>
    </w:p>
    <w:p w14:paraId="3480E866"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Electric supply costs: any expense made to the load serving entity (i.e., electric utility) for the delivery of electric service.</w:t>
      </w:r>
    </w:p>
    <w:p w14:paraId="5060674C"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Load management: Hardware, software, consumer outreach, and other practices that beneficially impact the way in which the EVSE is used, such that load is beneficially managed to support grid operations and ratepayer impacts.</w:t>
      </w:r>
    </w:p>
    <w:p w14:paraId="1D67AB13"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lastRenderedPageBreak/>
        <w:t>We are looking at two locations for public charging. One location is 2/10 on the Environmental Health Disparities map, the other is 8/10. Which match ratio would this qualify for? Do we need to submit separate applications for these locations?</w:t>
      </w:r>
    </w:p>
    <w:p w14:paraId="2D1AB0ED"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 xml:space="preserve">Please see RFA SECTION 1.4 FUNDING. For both reduced match options, each of the proposed sites must meet the applicable reduced match criterion to make the project eligible for reduced match. As stated during the Pre-Application Conference, this should be viewed as an extraordinary opportunity for an exceptional circumstance. If an application has two sites, one with an Environmental Health Disparities rank of two and the other or eight, that project would not be eligible for reduced match under reduced match Option 2. </w:t>
      </w:r>
    </w:p>
    <w:p w14:paraId="74023056"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One of the Port of Vancouver’s main marine tenants is Subaru which plans to start electrification of their fleet in 2022 and be fully electric by 2030. Under the Port section of the ETS grant, would providing charging stations to support imported Subaru’s qualify for the ETS program?</w:t>
      </w:r>
    </w:p>
    <w:p w14:paraId="130554F2"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The minimum qualification for Projects in RFA SECTION 1.3 #5 refers to the end uses of the EVSE, and the inclusion of ground support equipment is intended to be illustrative and not limiting.</w:t>
      </w:r>
      <w:r w:rsidRPr="00DC75BE">
        <w:rPr>
          <w:color w:val="1F4E79" w:themeColor="accent1" w:themeShade="80"/>
        </w:rPr>
        <w:t xml:space="preserve"> </w:t>
      </w:r>
      <w:r w:rsidRPr="00DC75BE">
        <w:rPr>
          <w:rFonts w:ascii="Arial" w:hAnsi="Arial" w:cs="Arial"/>
          <w:color w:val="1F4E79" w:themeColor="accent1" w:themeShade="80"/>
        </w:rPr>
        <w:t>Projects are eligible for the “port” end use as long as they directly and meaningfully support port operations and the specified function(s) do not otherwise fit the other end-uses listed under RFA 1.3.</w:t>
      </w:r>
    </w:p>
    <w:p w14:paraId="4E988B93"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We are in the process of developing a project with a city in our service territory for the ETS CEF3 grant and are determining who would be best suited to apply. If one of us submits the LOI this week, does that same entity also need to submit the full application for that project, or could we switch to have the other entity be the prime applicant?</w:t>
      </w:r>
    </w:p>
    <w:p w14:paraId="4D2F6111"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Please see Commerce’s response to Q&amp;A Question #96, above.</w:t>
      </w:r>
    </w:p>
    <w:p w14:paraId="2DAB9AC6"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Is ZoomGrant and the RFA setup such that 1 Applicant representing the City of Tacoma (1 corporate entity), may upload multiple LOIs to 1 ZoomGrant Account to meet the March 5th submittal requirments?</w:t>
      </w:r>
    </w:p>
    <w:p w14:paraId="2B5D705A"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Yes. Applicants planning to submit multiple applications may begin multiple independent applications within the ZoomGrants portal. Applicants submitting multiple LOIs should create one ZoomGrants application for each LOI/Application that they plan to submit, and upload each LOI under its corresponding ZoomGrants application.</w:t>
      </w:r>
    </w:p>
    <w:p w14:paraId="3AABFF0B"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 xml:space="preserve">I see that the minimum request is $25,000 with a 1 to1 match making it a $50,000 project.  What if the completed project does not meet that dollar amount?  Can a maintenance plan be included in the project cost?  </w:t>
      </w:r>
    </w:p>
    <w:p w14:paraId="7364145F"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 xml:space="preserve">Unfortunately, Commerce is not able to make awards of less than $25,000 for the purposes of this program. The minimum total project size would be $50,000, </w:t>
      </w:r>
      <w:r w:rsidRPr="00DC75BE">
        <w:rPr>
          <w:rFonts w:ascii="Arial" w:hAnsi="Arial" w:cs="Arial"/>
          <w:i/>
          <w:color w:val="1F4E79" w:themeColor="accent1" w:themeShade="80"/>
        </w:rPr>
        <w:t>if</w:t>
      </w:r>
      <w:r w:rsidRPr="00DC75BE">
        <w:rPr>
          <w:rFonts w:ascii="Arial" w:hAnsi="Arial" w:cs="Arial"/>
          <w:color w:val="1F4E79" w:themeColor="accent1" w:themeShade="80"/>
        </w:rPr>
        <w:t xml:space="preserve"> it is operating under a 1:1 match requirement. If the Applicant applies for and is deemed eligible for reduced match options outlined in SECTION 1.4 FUNDING, the total project size may be smaller (if operating under a </w:t>
      </w:r>
      <w:r w:rsidRPr="00DC75BE">
        <w:rPr>
          <w:rFonts w:ascii="Arial" w:hAnsi="Arial" w:cs="Arial"/>
          <w:color w:val="1F4E79" w:themeColor="accent1" w:themeShade="80"/>
        </w:rPr>
        <w:lastRenderedPageBreak/>
        <w:t>1:5 match requirement, the total minimum project size would be $30,000. If operating under a 1:10 match requirement, the total minimum project size would be $27,500). Maintenance costs are listed as ineligible, non-reimbursable expenditures in RFA SECTION 1.2 OBJECTIVES AND SCOPE OF WORK.</w:t>
      </w:r>
    </w:p>
    <w:p w14:paraId="616E765F"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Is Section 2.11 Most Favorable Terms ,indicating that the Applicant use their best judgement as to what applications will be most favorably scored in the WDOC selection process?</w:t>
      </w:r>
    </w:p>
    <w:p w14:paraId="65C01012"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Along with other key information, RFA SECTION 2.11 MOST FAVORABLE TERMS indicates that for a given project, the Applicant should submit the version of that project that best aligns with the objectives and scope of work of the ETS program. The objectives and scope of work are in turn reflected in the scoring criteria. As stated in our response to Q&amp;A Question #22, above, “Applicants should not submit multiple applications for the same project, and COMMERCE reserves the right to deem an application ineligible if it is found to cover substantially the same project as another submitted application.”</w:t>
      </w:r>
    </w:p>
    <w:p w14:paraId="14358285"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Does  Section 2.11, when placed in the context of the overall RFA,  also imply it is Most Favorable Terms” when the Applicant combines multiple similar projects into 1 Application AS LONG AS 1) all projects adhere to all laws pertaining to funding source, 2) Quarterly reports to WDOC provide adequate clarity on progress, AND 3) that the organization has the capability to administer 1 grant for multiple projects / departments / contractors / beneficial end users?</w:t>
      </w:r>
    </w:p>
    <w:p w14:paraId="63DCE515"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 xml:space="preserve">Not necessarily – it will depend on the project or project(s) in question. In attempting to determine which version of their project will score most highly, applicants may find RFA SECTION 4.2 EVALUATION BREAKDOWN useful. </w:t>
      </w:r>
    </w:p>
    <w:p w14:paraId="2C4D3C62" w14:textId="77777777" w:rsidR="00780C51" w:rsidRPr="00DC75BE" w:rsidRDefault="00780C51" w:rsidP="00780C51">
      <w:pPr>
        <w:pStyle w:val="ListParagraph"/>
        <w:numPr>
          <w:ilvl w:val="0"/>
          <w:numId w:val="4"/>
        </w:numPr>
        <w:rPr>
          <w:rFonts w:ascii="Arial" w:hAnsi="Arial" w:cs="Arial"/>
          <w:color w:val="1F4E79" w:themeColor="accent1" w:themeShade="80"/>
        </w:rPr>
      </w:pPr>
      <w:r w:rsidRPr="00DC75BE">
        <w:rPr>
          <w:rFonts w:ascii="Arial" w:hAnsi="Arial" w:cs="Arial"/>
          <w:color w:val="1F4E79" w:themeColor="accent1" w:themeShade="80"/>
        </w:rPr>
        <w:t xml:space="preserve">I would just like to confirm the Metropolitan Planning Organizations (MPO) and Regional Transportation Planning Organizations (RTPO) qualify as an eligible lead applicants under the local government definition. </w:t>
      </w:r>
    </w:p>
    <w:p w14:paraId="2A1248B4"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MPOs and RTPOS qualify as primary eligible applicants under the local government definition. As with all applicants, MPO/RTPO must still fulfill all other minimum qualifications described in the RFA to for their application to be deemed eligible.</w:t>
      </w:r>
    </w:p>
    <w:p w14:paraId="1A7BF7B6" w14:textId="77777777" w:rsidR="00780C51" w:rsidRPr="00DC75BE" w:rsidRDefault="00780C51" w:rsidP="00780C51">
      <w:pPr>
        <w:pStyle w:val="ListParagraph"/>
        <w:numPr>
          <w:ilvl w:val="0"/>
          <w:numId w:val="4"/>
        </w:numPr>
        <w:rPr>
          <w:rFonts w:ascii="Arial" w:hAnsi="Arial" w:cs="Arial"/>
          <w:color w:val="1F4E79" w:themeColor="accent1" w:themeShade="80"/>
        </w:rPr>
      </w:pPr>
      <w:r w:rsidRPr="00DC75BE">
        <w:rPr>
          <w:rFonts w:ascii="Arial" w:hAnsi="Arial" w:cs="Arial"/>
          <w:color w:val="1F4E79" w:themeColor="accent1" w:themeShade="80"/>
        </w:rPr>
        <w:t>Will there be future ETS grant solicitations?</w:t>
      </w:r>
    </w:p>
    <w:p w14:paraId="20DABE30"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The ETS Program is funded as part of CEF 3 funding enacted in Section 1013 (6) of Substitute Senate Bill 6090. No future solicitations are currently planned for the ETS program.</w:t>
      </w:r>
    </w:p>
    <w:p w14:paraId="02BEEC57" w14:textId="77777777" w:rsidR="00780C51" w:rsidRPr="00DC75BE" w:rsidRDefault="00780C51" w:rsidP="00780C51">
      <w:pPr>
        <w:pStyle w:val="ListParagraph"/>
        <w:numPr>
          <w:ilvl w:val="0"/>
          <w:numId w:val="4"/>
        </w:numPr>
        <w:rPr>
          <w:rFonts w:ascii="Arial" w:hAnsi="Arial" w:cs="Arial"/>
          <w:color w:val="1F4E79" w:themeColor="accent1" w:themeShade="80"/>
        </w:rPr>
      </w:pPr>
      <w:r w:rsidRPr="00DC75BE">
        <w:rPr>
          <w:rFonts w:ascii="Arial" w:hAnsi="Arial" w:cs="Arial"/>
          <w:color w:val="1F4E79" w:themeColor="accent1" w:themeShade="80"/>
        </w:rPr>
        <w:t>I submitted a Letter of Intent this morning, for the Electrification of Transportation Systems Grant. Here (below) is what I see on ZoomGrants. Are there any additional steps I need to take?</w:t>
      </w:r>
    </w:p>
    <w:p w14:paraId="717D8238"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 xml:space="preserve">Please see our response to Q&amp;A Question #110, above. </w:t>
      </w:r>
    </w:p>
    <w:p w14:paraId="76F99C86" w14:textId="77777777" w:rsidR="00780C51" w:rsidRPr="00DC75BE" w:rsidRDefault="00780C51" w:rsidP="00780C51">
      <w:pPr>
        <w:pStyle w:val="ListParagraph"/>
        <w:numPr>
          <w:ilvl w:val="0"/>
          <w:numId w:val="4"/>
        </w:numPr>
        <w:rPr>
          <w:rFonts w:ascii="Arial" w:hAnsi="Arial" w:cs="Arial"/>
          <w:color w:val="1F4E79" w:themeColor="accent1" w:themeShade="80"/>
        </w:rPr>
      </w:pPr>
      <w:r w:rsidRPr="00DC75BE">
        <w:rPr>
          <w:rFonts w:ascii="Arial" w:hAnsi="Arial" w:cs="Arial"/>
          <w:color w:val="1F4E79" w:themeColor="accent1" w:themeShade="80"/>
        </w:rPr>
        <w:t xml:space="preserve">I represent two institutions of Higher Education, Pierce College and Bates Technical College that are defined as state agencies by the State Board of Community and </w:t>
      </w:r>
      <w:r w:rsidRPr="00DC75BE">
        <w:rPr>
          <w:rFonts w:ascii="Arial" w:hAnsi="Arial" w:cs="Arial"/>
          <w:color w:val="1F4E79" w:themeColor="accent1" w:themeShade="80"/>
        </w:rPr>
        <w:lastRenderedPageBreak/>
        <w:t>Technical Colleges. Are state agencies such as these eligible to submit letters of interest as the primary applicant? Or, would we partner with our local utility company?</w:t>
      </w:r>
    </w:p>
    <w:p w14:paraId="60F6AD19"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Please see our response to Q&amp;A Question #10, above.</w:t>
      </w:r>
    </w:p>
    <w:p w14:paraId="725B91FD" w14:textId="77777777" w:rsidR="00780C51" w:rsidRPr="00DC75BE" w:rsidRDefault="00780C51" w:rsidP="00780C51">
      <w:pPr>
        <w:pStyle w:val="ListParagraph"/>
        <w:numPr>
          <w:ilvl w:val="0"/>
          <w:numId w:val="4"/>
        </w:numPr>
        <w:rPr>
          <w:rFonts w:ascii="Arial" w:hAnsi="Arial" w:cs="Arial"/>
          <w:color w:val="1F4E79" w:themeColor="accent1" w:themeShade="80"/>
        </w:rPr>
      </w:pPr>
      <w:r w:rsidRPr="00DC75BE">
        <w:rPr>
          <w:rFonts w:ascii="Arial" w:hAnsi="Arial" w:cs="Arial"/>
          <w:color w:val="1F4E79" w:themeColor="accent1" w:themeShade="80"/>
        </w:rPr>
        <w:t>I understand that the Letter of Intent must be submitted by 3pm 03/05/2020 but does the Pre-Application need to be submitted by that time as well or does the LOI just make us eligible to then move forward with the Pre-Application?  If so, is the Pre-Application due the same time as the Application?</w:t>
      </w:r>
    </w:p>
    <w:p w14:paraId="3DFC850E" w14:textId="77777777" w:rsidR="00780C51" w:rsidRPr="00DC75BE" w:rsidRDefault="00780C51" w:rsidP="00780C51">
      <w:pPr>
        <w:rPr>
          <w:rFonts w:ascii="Arial" w:hAnsi="Arial" w:cs="Arial"/>
          <w:color w:val="1F4E79" w:themeColor="accent1" w:themeShade="80"/>
        </w:rPr>
      </w:pPr>
      <w:r w:rsidRPr="00DC75BE">
        <w:rPr>
          <w:rFonts w:ascii="Arial" w:hAnsi="Arial" w:cs="Arial"/>
          <w:color w:val="1F4E79" w:themeColor="accent1" w:themeShade="80"/>
        </w:rPr>
        <w:t>The Pre-Application and the Full Application are both components of the Application described in RFA SECTION 3 APPLICATION CONTENTS. The Letter of Intent is the only document that Applicants are required to submit for the Letter of Intent Deadline.</w:t>
      </w:r>
    </w:p>
    <w:p w14:paraId="1B894487" w14:textId="77777777" w:rsidR="00780C51" w:rsidRPr="00DC75BE" w:rsidRDefault="00780C51" w:rsidP="00780C51">
      <w:pPr>
        <w:pStyle w:val="ListParagraph"/>
        <w:numPr>
          <w:ilvl w:val="0"/>
          <w:numId w:val="4"/>
        </w:numPr>
        <w:contextualSpacing w:val="0"/>
        <w:rPr>
          <w:rFonts w:ascii="Arial" w:hAnsi="Arial" w:cs="Arial"/>
          <w:color w:val="1F4E79" w:themeColor="accent1" w:themeShade="80"/>
        </w:rPr>
      </w:pPr>
      <w:r w:rsidRPr="00DC75BE">
        <w:rPr>
          <w:rFonts w:ascii="Arial" w:hAnsi="Arial" w:cs="Arial"/>
          <w:color w:val="1F4E79" w:themeColor="accent1" w:themeShade="80"/>
        </w:rPr>
        <w:t>I submitted my letter of intent for the Electrification of Transportation Systems for the City of Anacortes in zoom grants yesterday, if possible can you check to see it and that it was done correctly.</w:t>
      </w:r>
    </w:p>
    <w:p w14:paraId="7C16ABBB" w14:textId="77777777" w:rsidR="00780C51" w:rsidRPr="00DC75BE" w:rsidRDefault="00780C51" w:rsidP="00780C51">
      <w:pPr>
        <w:pStyle w:val="ListParagraph"/>
        <w:ind w:left="0"/>
        <w:contextualSpacing w:val="0"/>
        <w:rPr>
          <w:rFonts w:ascii="Arial" w:hAnsi="Arial" w:cs="Arial"/>
          <w:color w:val="1F4E79" w:themeColor="accent1" w:themeShade="80"/>
        </w:rPr>
      </w:pPr>
      <w:r w:rsidRPr="00DC75BE">
        <w:rPr>
          <w:rFonts w:ascii="Arial" w:hAnsi="Arial" w:cs="Arial"/>
          <w:color w:val="1F4E79" w:themeColor="accent1" w:themeShade="80"/>
        </w:rPr>
        <w:t>Please see our response to Q&amp;A Question #110, above.</w:t>
      </w:r>
    </w:p>
    <w:p w14:paraId="0CC72A16"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 xml:space="preserve">Is the funding federal? I thought it was related to VW settlements to the state, but wanted to clarify if it’s marked federal </w:t>
      </w:r>
    </w:p>
    <w:p w14:paraId="4FA638ED"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Please see RFA SECTION 1.4 FUNDING. In this round of the ETS program, $7,663,000 in Washington State funds and up to $3,007,000 from U.S. Department of Energy American Recovery and Reinvestment Act (ARRA) federal funds will be competitively awarded. Applicants will have the chance to specify a preferred type of funding. Commerce cannot guarantee that Applicants with received their preferred funding type if they receive an award.</w:t>
      </w:r>
    </w:p>
    <w:p w14:paraId="36E2B902"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We have two project site considerations for EV station installs</w:t>
      </w:r>
    </w:p>
    <w:p w14:paraId="32E0648F" w14:textId="77777777" w:rsidR="00780C51" w:rsidRPr="00DC75BE" w:rsidRDefault="00780C51" w:rsidP="00780C51">
      <w:pPr>
        <w:pStyle w:val="ListParagraph"/>
        <w:numPr>
          <w:ilvl w:val="1"/>
          <w:numId w:val="4"/>
        </w:numPr>
        <w:spacing w:before="240"/>
        <w:rPr>
          <w:rFonts w:ascii="Arial" w:hAnsi="Arial" w:cs="Arial"/>
          <w:color w:val="1F4E79" w:themeColor="accent1" w:themeShade="80"/>
        </w:rPr>
      </w:pPr>
      <w:r w:rsidRPr="00DC75BE">
        <w:rPr>
          <w:rFonts w:ascii="Arial" w:hAnsi="Arial" w:cs="Arial"/>
          <w:color w:val="1F4E79" w:themeColor="accent1" w:themeShade="80"/>
        </w:rPr>
        <w:t xml:space="preserve">Is it okay if we submit two LOI’s? Or is the preference one LOI identifying “multiple locations” ? </w:t>
      </w:r>
    </w:p>
    <w:p w14:paraId="657E8BD4" w14:textId="77777777" w:rsidR="00780C51" w:rsidRPr="00DC75BE" w:rsidRDefault="00780C51" w:rsidP="00780C51">
      <w:pPr>
        <w:pStyle w:val="ListParagraph"/>
        <w:numPr>
          <w:ilvl w:val="1"/>
          <w:numId w:val="27"/>
        </w:numPr>
        <w:spacing w:before="240"/>
        <w:rPr>
          <w:rFonts w:ascii="Arial" w:hAnsi="Arial" w:cs="Arial"/>
          <w:color w:val="1F4E79" w:themeColor="accent1" w:themeShade="80"/>
        </w:rPr>
      </w:pPr>
      <w:r w:rsidRPr="00DC75BE">
        <w:rPr>
          <w:rFonts w:ascii="Arial" w:hAnsi="Arial" w:cs="Arial"/>
          <w:color w:val="1F4E79" w:themeColor="accent1" w:themeShade="80"/>
        </w:rPr>
        <w:t>One project is partially funded already by Kirkland, supplanting presents an issue here if fed</w:t>
      </w:r>
    </w:p>
    <w:p w14:paraId="42C7219A" w14:textId="77777777" w:rsidR="00780C51" w:rsidRPr="00DC75BE" w:rsidRDefault="00780C51" w:rsidP="00780C51">
      <w:pPr>
        <w:pStyle w:val="ListParagraph"/>
        <w:numPr>
          <w:ilvl w:val="1"/>
          <w:numId w:val="27"/>
        </w:numPr>
        <w:spacing w:before="240"/>
        <w:rPr>
          <w:rFonts w:ascii="Arial" w:hAnsi="Arial" w:cs="Arial"/>
          <w:color w:val="1F4E79" w:themeColor="accent1" w:themeShade="80"/>
        </w:rPr>
      </w:pPr>
      <w:r w:rsidRPr="00DC75BE">
        <w:rPr>
          <w:rFonts w:ascii="Arial" w:hAnsi="Arial" w:cs="Arial"/>
          <w:color w:val="1F4E79" w:themeColor="accent1" w:themeShade="80"/>
        </w:rPr>
        <w:t>The other site is not funded, so supplanting isn’t a concern</w:t>
      </w:r>
    </w:p>
    <w:p w14:paraId="6C60E5C3"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Please see our response to Q&amp;A Question #107, above.</w:t>
      </w:r>
    </w:p>
    <w:p w14:paraId="5C5B5B5B"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Confirming the stations can be used for internal fleet vehicles and are NOT required to be public facing/accessible</w:t>
      </w:r>
    </w:p>
    <w:p w14:paraId="37CC9317"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Please see our response to Q&amp;A Question #51, above.</w:t>
      </w:r>
    </w:p>
    <w:p w14:paraId="3E33BBD0"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A quick question on the LOI. For Section 1.05 and 1.06, are you looking for the person responsible for submitting the grant (our grants manager) or the CEO, the person granted the signing authority by our Board? Thank you for the clarification.</w:t>
      </w:r>
    </w:p>
    <w:p w14:paraId="61B8E7F6"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For Section 1.05 and 1.06 of the LOI, Applicants should fill in information corresponding to an individual granted signatory authority for the primary applicant.</w:t>
      </w:r>
    </w:p>
    <w:p w14:paraId="0DA7BA90"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lastRenderedPageBreak/>
        <w:t>We received a notification from the application portal that our DUNS did not correspond to a tax exempt organization. Will this jeopardize our application or LOI submission?</w:t>
      </w:r>
    </w:p>
    <w:p w14:paraId="76ACD2E4" w14:textId="77777777" w:rsidR="00780C51" w:rsidRPr="00DC75BE" w:rsidRDefault="00780C51" w:rsidP="00780C51">
      <w:pPr>
        <w:spacing w:before="240"/>
        <w:rPr>
          <w:rFonts w:ascii="Arial" w:hAnsi="Arial" w:cs="Arial"/>
          <w:color w:val="1F4E79" w:themeColor="accent1" w:themeShade="80"/>
        </w:rPr>
      </w:pPr>
      <w:r w:rsidRPr="00DC75BE">
        <w:rPr>
          <w:rFonts w:ascii="Arial" w:hAnsi="Arial" w:cs="Arial"/>
          <w:color w:val="1F4E79" w:themeColor="accent1" w:themeShade="80"/>
        </w:rPr>
        <w:t>Certain primary eligible ETS applicants are not tax-exempt entities. As long as the Applicant is a primary eligible applicant under the definitions outlined in the ETS RFA, there should not be any issue with applicant eligibility related to their tax status.</w:t>
      </w:r>
    </w:p>
    <w:p w14:paraId="5F2377F3" w14:textId="77777777" w:rsidR="00780C51" w:rsidRPr="00DC75BE" w:rsidRDefault="00780C51" w:rsidP="00780C51">
      <w:pPr>
        <w:pStyle w:val="ListParagraph"/>
        <w:numPr>
          <w:ilvl w:val="0"/>
          <w:numId w:val="4"/>
        </w:numPr>
        <w:spacing w:before="240"/>
        <w:rPr>
          <w:rFonts w:ascii="Arial" w:hAnsi="Arial" w:cs="Arial"/>
          <w:color w:val="1F4E79" w:themeColor="accent1" w:themeShade="80"/>
        </w:rPr>
      </w:pPr>
      <w:r w:rsidRPr="00DC75BE">
        <w:rPr>
          <w:rFonts w:ascii="Arial" w:hAnsi="Arial" w:cs="Arial"/>
          <w:color w:val="1F4E79" w:themeColor="accent1" w:themeShade="80"/>
        </w:rPr>
        <w:t>I am not noticing the location to submit the Letter of Intent through the portal. Please advise.</w:t>
      </w:r>
    </w:p>
    <w:p w14:paraId="6EBDA0AF" w14:textId="77777777" w:rsidR="00780C51" w:rsidRPr="001902C9" w:rsidRDefault="00780C51" w:rsidP="00780C51">
      <w:pPr>
        <w:spacing w:before="240"/>
        <w:rPr>
          <w:rFonts w:ascii="Arial" w:hAnsi="Arial" w:cs="Arial"/>
          <w:color w:val="2F5496" w:themeColor="accent5" w:themeShade="BF"/>
        </w:rPr>
      </w:pPr>
      <w:r w:rsidRPr="00DC75BE">
        <w:rPr>
          <w:rFonts w:ascii="Arial" w:hAnsi="Arial" w:cs="Arial"/>
          <w:color w:val="1F4E79" w:themeColor="accent1" w:themeShade="80"/>
        </w:rPr>
        <w:t>Please</w:t>
      </w:r>
      <w:r w:rsidRPr="001902C9">
        <w:rPr>
          <w:rFonts w:ascii="Arial" w:hAnsi="Arial" w:cs="Arial"/>
          <w:color w:val="2F5496" w:themeColor="accent5" w:themeShade="BF"/>
        </w:rPr>
        <w:t xml:space="preserve"> see Commerce’s response to Q&amp;A Question #110, above.</w:t>
      </w:r>
    </w:p>
    <w:p w14:paraId="7BCA39A1" w14:textId="77777777" w:rsidR="00780C51" w:rsidRPr="001902C9" w:rsidRDefault="00780C51" w:rsidP="00780C51">
      <w:pPr>
        <w:pStyle w:val="ListParagraph"/>
        <w:numPr>
          <w:ilvl w:val="0"/>
          <w:numId w:val="4"/>
        </w:numPr>
        <w:rPr>
          <w:rFonts w:ascii="Arial" w:hAnsi="Arial" w:cs="Arial"/>
          <w:color w:val="2F5496" w:themeColor="accent5" w:themeShade="BF"/>
        </w:rPr>
      </w:pPr>
      <w:bookmarkStart w:id="0" w:name="_MailEndCompose"/>
      <w:r w:rsidRPr="001902C9">
        <w:rPr>
          <w:rFonts w:ascii="Arial" w:hAnsi="Arial" w:cs="Arial"/>
          <w:color w:val="2F5496" w:themeColor="accent5" w:themeShade="BF"/>
        </w:rPr>
        <w:t>If a project is not in the counties listed below, will the project be considered?</w:t>
      </w:r>
      <w:bookmarkEnd w:id="0"/>
      <w:r w:rsidRPr="001902C9">
        <w:rPr>
          <w:rFonts w:ascii="Arial" w:hAnsi="Arial" w:cs="Arial"/>
          <w:color w:val="2F5496" w:themeColor="accent5" w:themeShade="BF"/>
        </w:rPr>
        <w:t xml:space="preserve"> </w:t>
      </w:r>
      <w:r w:rsidRPr="001902C9">
        <w:rPr>
          <w:rFonts w:ascii="Arial" w:hAnsi="Arial" w:cs="Arial"/>
          <w:b/>
          <w:bCs/>
          <w:color w:val="2F5496" w:themeColor="accent5" w:themeShade="BF"/>
        </w:rPr>
        <w:t xml:space="preserve">EPA National Scale Air Toxics Assessment (NATA) </w:t>
      </w:r>
      <w:r w:rsidRPr="001902C9">
        <w:rPr>
          <w:rFonts w:ascii="Arial" w:hAnsi="Arial" w:cs="Arial"/>
          <w:color w:val="2F5496" w:themeColor="accent5" w:themeShade="BF"/>
        </w:rPr>
        <w:t xml:space="preserve">List the project sites in counties qualified as NATA Counties under </w:t>
      </w:r>
      <w:hyperlink r:id="rId25" w:history="1">
        <w:r w:rsidRPr="001902C9">
          <w:rPr>
            <w:rStyle w:val="Hyperlink"/>
            <w:rFonts w:ascii="Arial" w:hAnsi="Arial" w:cs="Arial"/>
            <w:color w:val="2F5496" w:themeColor="accent5" w:themeShade="BF"/>
          </w:rPr>
          <w:t>NATA</w:t>
        </w:r>
      </w:hyperlink>
      <w:r w:rsidRPr="001902C9">
        <w:rPr>
          <w:rFonts w:ascii="Arial" w:hAnsi="Arial" w:cs="Arial"/>
          <w:color w:val="2F5496" w:themeColor="accent5" w:themeShade="BF"/>
        </w:rPr>
        <w:t xml:space="preserve"> (which are located in Clark, King, Pierce, Skagit, Snohomish, or Whatcom Counties).</w:t>
      </w:r>
    </w:p>
    <w:p w14:paraId="1811D099" w14:textId="77777777" w:rsidR="00780C51" w:rsidRPr="001902C9" w:rsidRDefault="00780C51" w:rsidP="00780C51">
      <w:pPr>
        <w:rPr>
          <w:rFonts w:ascii="Arial" w:hAnsi="Arial" w:cs="Arial"/>
          <w:color w:val="2F5496" w:themeColor="accent5" w:themeShade="BF"/>
        </w:rPr>
      </w:pPr>
      <w:r w:rsidRPr="001902C9">
        <w:rPr>
          <w:rFonts w:ascii="Arial" w:hAnsi="Arial" w:cs="Arial"/>
          <w:color w:val="2F5496" w:themeColor="accent5" w:themeShade="BF"/>
        </w:rPr>
        <w:t>Yes. There is no minimum qualification listed in RFA SECTION 1.3 MINIMUM QUALIFICATIONS that pertains to NATA. NATA is a scoring criteria for full applications, as described in RFA SECTION 4.2 B.iv.b b.</w:t>
      </w:r>
      <w:r w:rsidRPr="001902C9">
        <w:rPr>
          <w:rFonts w:ascii="Arial" w:hAnsi="Arial" w:cs="Arial"/>
          <w:color w:val="2F5496" w:themeColor="accent5" w:themeShade="BF"/>
        </w:rPr>
        <w:tab/>
        <w:t>EPA National Scale Air Toxics Assessment (NATA).</w:t>
      </w:r>
    </w:p>
    <w:p w14:paraId="7E7C41D7" w14:textId="77777777" w:rsidR="00780C51" w:rsidRPr="001902C9" w:rsidRDefault="00780C51" w:rsidP="00780C51">
      <w:pPr>
        <w:pStyle w:val="ListParagraph"/>
        <w:numPr>
          <w:ilvl w:val="0"/>
          <w:numId w:val="4"/>
        </w:numPr>
        <w:spacing w:before="240"/>
        <w:rPr>
          <w:rFonts w:ascii="Arial" w:hAnsi="Arial" w:cs="Arial"/>
          <w:color w:val="2F5496" w:themeColor="accent5" w:themeShade="BF"/>
        </w:rPr>
      </w:pPr>
      <w:r w:rsidRPr="001902C9">
        <w:rPr>
          <w:rFonts w:ascii="Arial" w:hAnsi="Arial" w:cs="Arial"/>
          <w:color w:val="2F5496" w:themeColor="accent5" w:themeShade="BF"/>
        </w:rPr>
        <w:t>Can you please confirm that Commerce has received three LOI’s applying to the ETS program from King County (1) and King County Metro (2)?</w:t>
      </w:r>
    </w:p>
    <w:p w14:paraId="7FF6C126" w14:textId="77777777" w:rsidR="00780C51" w:rsidRPr="001902C9" w:rsidRDefault="00780C51" w:rsidP="00780C51">
      <w:pPr>
        <w:spacing w:before="240"/>
        <w:rPr>
          <w:rFonts w:ascii="Arial" w:hAnsi="Arial" w:cs="Arial"/>
          <w:color w:val="2F5496" w:themeColor="accent5" w:themeShade="BF"/>
        </w:rPr>
      </w:pPr>
      <w:r w:rsidRPr="001902C9">
        <w:rPr>
          <w:rFonts w:ascii="Arial" w:hAnsi="Arial" w:cs="Arial"/>
          <w:color w:val="2F5496" w:themeColor="accent5" w:themeShade="BF"/>
        </w:rPr>
        <w:t>Please see Commerce’s response to Q&amp;A Question #110, above. Commerce is still processing a high volume of LOIs and will send notifications to all Applicants when we have completed our administrative review.</w:t>
      </w:r>
    </w:p>
    <w:p w14:paraId="385CCC4F" w14:textId="77777777" w:rsidR="00780C51" w:rsidRPr="001902C9" w:rsidRDefault="00780C51" w:rsidP="00780C51">
      <w:pPr>
        <w:pStyle w:val="ListParagraph"/>
        <w:numPr>
          <w:ilvl w:val="0"/>
          <w:numId w:val="4"/>
        </w:numPr>
        <w:spacing w:before="240"/>
        <w:rPr>
          <w:rFonts w:ascii="Arial" w:hAnsi="Arial" w:cs="Arial"/>
          <w:color w:val="2F5496" w:themeColor="accent5" w:themeShade="BF"/>
        </w:rPr>
      </w:pPr>
      <w:r w:rsidRPr="001902C9">
        <w:rPr>
          <w:rFonts w:ascii="Arial" w:hAnsi="Arial" w:cs="Arial"/>
          <w:color w:val="2F5496" w:themeColor="accent5" w:themeShade="BF"/>
        </w:rPr>
        <w:t>I saw the letter of intent (LOI) deadline was 3/5. Is it still possible to submit a letter of intent and/or application?</w:t>
      </w:r>
    </w:p>
    <w:p w14:paraId="5B16D621" w14:textId="77777777" w:rsidR="00780C51" w:rsidRPr="001902C9" w:rsidRDefault="00780C51" w:rsidP="00780C51">
      <w:pPr>
        <w:spacing w:before="240"/>
        <w:rPr>
          <w:rFonts w:ascii="Arial" w:hAnsi="Arial" w:cs="Arial"/>
          <w:color w:val="2F5496" w:themeColor="accent5" w:themeShade="BF"/>
        </w:rPr>
      </w:pPr>
      <w:r w:rsidRPr="001902C9">
        <w:rPr>
          <w:rFonts w:ascii="Arial" w:hAnsi="Arial" w:cs="Arial"/>
          <w:color w:val="2F5496" w:themeColor="accent5" w:themeShade="BF"/>
        </w:rPr>
        <w:t xml:space="preserve">Updated 4/6/2020: The mandatory letter of intent deadline has passed for Retail Electric Utilities and Local Governments. The mandatory letter of intent deadline for Federally Recognized Tribal Governments is upcoming and listed in RFA SECTION 2.2 ESTIMATED SCHEDULE OF PROCUREMENT ACTIVITIES. Only Applicants that have submitted letters of intent prior to the letter of intent deadline for their corresponding applicant type will be eligible to submit applications for this award. Individuals interested in future clean energy fund solicitations should sign up for updates on Commerce’s clean energy fund </w:t>
      </w:r>
      <w:hyperlink r:id="rId26" w:history="1">
        <w:r w:rsidRPr="001902C9">
          <w:rPr>
            <w:rStyle w:val="Hyperlink"/>
            <w:rFonts w:ascii="Arial" w:hAnsi="Arial" w:cs="Arial"/>
            <w:color w:val="2F5496" w:themeColor="accent5" w:themeShade="BF"/>
          </w:rPr>
          <w:t>website</w:t>
        </w:r>
      </w:hyperlink>
      <w:r w:rsidRPr="001902C9">
        <w:rPr>
          <w:rFonts w:ascii="Arial" w:hAnsi="Arial" w:cs="Arial"/>
          <w:color w:val="2F5496" w:themeColor="accent5" w:themeShade="BF"/>
        </w:rPr>
        <w:t>.</w:t>
      </w:r>
    </w:p>
    <w:p w14:paraId="16218B41" w14:textId="77777777" w:rsidR="00780C51" w:rsidRPr="00296944" w:rsidRDefault="00780C51" w:rsidP="00780C51">
      <w:pPr>
        <w:pStyle w:val="ListParagraph"/>
        <w:numPr>
          <w:ilvl w:val="0"/>
          <w:numId w:val="4"/>
        </w:numPr>
        <w:spacing w:before="240"/>
        <w:rPr>
          <w:rFonts w:ascii="Arial" w:hAnsi="Arial" w:cs="Arial"/>
          <w:color w:val="2F5496" w:themeColor="accent5" w:themeShade="BF"/>
        </w:rPr>
      </w:pPr>
      <w:r w:rsidRPr="001902C9">
        <w:rPr>
          <w:rFonts w:ascii="Arial" w:hAnsi="Arial" w:cs="Arial"/>
          <w:color w:val="2F5496" w:themeColor="accent5" w:themeShade="BF"/>
        </w:rPr>
        <w:t>In light of the COVID-19 outbreak, will Commerce sti</w:t>
      </w:r>
      <w:r w:rsidRPr="00296944">
        <w:rPr>
          <w:rFonts w:ascii="Arial" w:hAnsi="Arial" w:cs="Arial"/>
          <w:color w:val="2F5496" w:themeColor="accent5" w:themeShade="BF"/>
        </w:rPr>
        <w:t>ll be holding the outreach events referenced during the pre-application conference?</w:t>
      </w:r>
    </w:p>
    <w:p w14:paraId="1FE7F93C" w14:textId="77777777" w:rsidR="00780C51" w:rsidRPr="00296944" w:rsidRDefault="00780C51" w:rsidP="00780C51">
      <w:pPr>
        <w:spacing w:before="240"/>
        <w:rPr>
          <w:rFonts w:ascii="Arial" w:hAnsi="Arial" w:cs="Arial"/>
          <w:color w:val="2F5496" w:themeColor="accent5" w:themeShade="BF"/>
        </w:rPr>
      </w:pPr>
      <w:r w:rsidRPr="00296944">
        <w:rPr>
          <w:rFonts w:ascii="Arial" w:hAnsi="Arial" w:cs="Arial"/>
          <w:color w:val="2F5496" w:themeColor="accent5" w:themeShade="BF"/>
        </w:rPr>
        <w:t>Planned in-person outreach related to this program has been cancell</w:t>
      </w:r>
      <w:r>
        <w:rPr>
          <w:rFonts w:ascii="Arial" w:hAnsi="Arial" w:cs="Arial"/>
          <w:color w:val="2F5496" w:themeColor="accent5" w:themeShade="BF"/>
        </w:rPr>
        <w:t>ed pending further developments</w:t>
      </w:r>
      <w:r w:rsidRPr="00296944">
        <w:rPr>
          <w:rFonts w:ascii="Arial" w:hAnsi="Arial" w:cs="Arial"/>
          <w:color w:val="2F5496" w:themeColor="accent5" w:themeShade="BF"/>
        </w:rPr>
        <w:t>. Commerce will endeavor to provide appropriate application support to applicants via the Question &amp; Answer process outlined in the RFA, and through additional informational resources as needed.</w:t>
      </w:r>
    </w:p>
    <w:p w14:paraId="21512440" w14:textId="77777777" w:rsidR="00780C51" w:rsidRPr="00296944" w:rsidRDefault="00780C51" w:rsidP="00780C51">
      <w:pPr>
        <w:pStyle w:val="ListParagraph"/>
        <w:numPr>
          <w:ilvl w:val="0"/>
          <w:numId w:val="4"/>
        </w:numPr>
        <w:spacing w:before="240"/>
        <w:rPr>
          <w:rFonts w:ascii="Arial" w:hAnsi="Arial" w:cs="Arial"/>
          <w:color w:val="2F5496" w:themeColor="accent5" w:themeShade="BF"/>
        </w:rPr>
      </w:pPr>
      <w:r w:rsidRPr="00296944">
        <w:rPr>
          <w:rFonts w:ascii="Arial" w:hAnsi="Arial" w:cs="Arial"/>
          <w:color w:val="2F5496" w:themeColor="accent5" w:themeShade="BF"/>
        </w:rPr>
        <w:lastRenderedPageBreak/>
        <w:t>I'm curious to learn which public agencies submitted Letters of Intent to apply for ETS funding.  Is a list of eligible applicants be available?</w:t>
      </w:r>
    </w:p>
    <w:p w14:paraId="40E88098" w14:textId="77777777" w:rsidR="00780C51" w:rsidRPr="00296944" w:rsidRDefault="00780C51" w:rsidP="00780C51">
      <w:pPr>
        <w:spacing w:before="240"/>
        <w:rPr>
          <w:rFonts w:ascii="Arial" w:hAnsi="Arial" w:cs="Arial"/>
          <w:color w:val="2F5496" w:themeColor="accent5" w:themeShade="BF"/>
        </w:rPr>
      </w:pPr>
      <w:r w:rsidRPr="00296944">
        <w:rPr>
          <w:rFonts w:ascii="Arial" w:hAnsi="Arial" w:cs="Arial"/>
          <w:color w:val="2F5496" w:themeColor="accent5" w:themeShade="BF"/>
        </w:rPr>
        <w:t>Commerce does not intend to publicly release a full list of Letter of Intent submitters at this time.</w:t>
      </w:r>
    </w:p>
    <w:p w14:paraId="329A1CCA" w14:textId="77777777" w:rsidR="00780C51" w:rsidRPr="00296944" w:rsidRDefault="00780C51" w:rsidP="00780C51">
      <w:pPr>
        <w:pStyle w:val="ListParagraph"/>
        <w:numPr>
          <w:ilvl w:val="0"/>
          <w:numId w:val="4"/>
        </w:numPr>
        <w:spacing w:before="240"/>
        <w:rPr>
          <w:rFonts w:ascii="Arial" w:hAnsi="Arial" w:cs="Arial"/>
          <w:color w:val="2F5496" w:themeColor="accent5" w:themeShade="BF"/>
        </w:rPr>
      </w:pPr>
      <w:r w:rsidRPr="00296944">
        <w:rPr>
          <w:rFonts w:ascii="Arial" w:hAnsi="Arial" w:cs="Arial"/>
          <w:color w:val="2F5496" w:themeColor="accent5" w:themeShade="BF"/>
        </w:rPr>
        <w:t>There are potential legislative changes to ETS that would include Federally Recognized Tribal Governments as eligible applicants for the award. If these pass into law, how would Commerce respond?</w:t>
      </w:r>
    </w:p>
    <w:p w14:paraId="5D4F357E" w14:textId="77777777" w:rsidR="00780C51" w:rsidRPr="00E53D40" w:rsidRDefault="00780C51" w:rsidP="00780C51">
      <w:pPr>
        <w:spacing w:before="240"/>
        <w:rPr>
          <w:rFonts w:ascii="Arial" w:hAnsi="Arial" w:cs="Arial"/>
          <w:color w:val="2F5496" w:themeColor="accent5" w:themeShade="BF"/>
        </w:rPr>
      </w:pPr>
      <w:r w:rsidRPr="00296944">
        <w:rPr>
          <w:rFonts w:ascii="Arial" w:hAnsi="Arial" w:cs="Arial"/>
          <w:color w:val="2F5496" w:themeColor="accent5" w:themeShade="BF"/>
        </w:rPr>
        <w:t>Plea</w:t>
      </w:r>
      <w:r w:rsidRPr="00E53D40">
        <w:rPr>
          <w:rFonts w:ascii="Arial" w:hAnsi="Arial" w:cs="Arial"/>
          <w:color w:val="2F5496" w:themeColor="accent5" w:themeShade="BF"/>
        </w:rPr>
        <w:t>se see the updated answer to Q&amp;A Question #24, above.</w:t>
      </w:r>
    </w:p>
    <w:p w14:paraId="42C400E2" w14:textId="77777777" w:rsidR="00780C51" w:rsidRPr="00E53D40" w:rsidRDefault="00780C51" w:rsidP="00780C51">
      <w:pPr>
        <w:pStyle w:val="ListParagraph"/>
        <w:numPr>
          <w:ilvl w:val="0"/>
          <w:numId w:val="4"/>
        </w:numPr>
        <w:spacing w:before="240"/>
        <w:rPr>
          <w:rFonts w:ascii="Arial" w:hAnsi="Arial" w:cs="Arial"/>
          <w:color w:val="2F5496" w:themeColor="accent5" w:themeShade="BF"/>
        </w:rPr>
      </w:pPr>
      <w:r w:rsidRPr="00E53D40">
        <w:rPr>
          <w:rFonts w:ascii="Arial" w:hAnsi="Arial" w:cs="Arial"/>
          <w:color w:val="2F5496" w:themeColor="accent5" w:themeShade="BF"/>
        </w:rPr>
        <w:t>Would it be possible to amend our Letter of Intent to reflect the $2,500,000?</w:t>
      </w:r>
    </w:p>
    <w:p w14:paraId="7462BD55" w14:textId="77777777" w:rsidR="00780C51" w:rsidRPr="00E53D40" w:rsidRDefault="00780C51" w:rsidP="00780C51">
      <w:pPr>
        <w:spacing w:before="240"/>
        <w:rPr>
          <w:rFonts w:ascii="Arial" w:hAnsi="Arial" w:cs="Arial"/>
          <w:color w:val="2F5496" w:themeColor="accent5" w:themeShade="BF"/>
        </w:rPr>
      </w:pPr>
      <w:r w:rsidRPr="00E53D40">
        <w:rPr>
          <w:rFonts w:ascii="Arial" w:hAnsi="Arial" w:cs="Arial"/>
          <w:color w:val="2F5496" w:themeColor="accent5" w:themeShade="BF"/>
        </w:rPr>
        <w:t>There is no need to amend Letters of Intent to reflect differences between the Letter of Intent and Application. Letters of Intent are non-binding, and Project and Funding Information may change between Letter of Intent and Application.</w:t>
      </w:r>
    </w:p>
    <w:p w14:paraId="0B0660EA" w14:textId="77777777" w:rsidR="00780C51" w:rsidRPr="00E53D40" w:rsidRDefault="00780C51" w:rsidP="00780C51">
      <w:pPr>
        <w:pStyle w:val="ListParagraph"/>
        <w:numPr>
          <w:ilvl w:val="0"/>
          <w:numId w:val="4"/>
        </w:numPr>
        <w:spacing w:before="240"/>
        <w:rPr>
          <w:rFonts w:ascii="Arial" w:hAnsi="Arial" w:cs="Arial"/>
          <w:color w:val="2F5496" w:themeColor="accent5" w:themeShade="BF"/>
        </w:rPr>
      </w:pPr>
      <w:r w:rsidRPr="00E53D40">
        <w:rPr>
          <w:rFonts w:ascii="Arial" w:hAnsi="Arial" w:cs="Arial"/>
          <w:color w:val="2F5496" w:themeColor="accent5" w:themeShade="BF"/>
        </w:rPr>
        <w:t>We’re a small city working on an application for ETS. We have a limited numbers of businesses we work with on a regular basis. What are you looking for when you ask for a business reference? What would be an acceptable business reference for a small city in our situation?</w:t>
      </w:r>
    </w:p>
    <w:p w14:paraId="0EC0AE61" w14:textId="77777777" w:rsidR="00780C51" w:rsidRPr="00E53D40" w:rsidRDefault="00780C51" w:rsidP="00780C51">
      <w:pPr>
        <w:spacing w:before="240"/>
        <w:rPr>
          <w:rFonts w:ascii="Arial" w:hAnsi="Arial" w:cs="Arial"/>
          <w:color w:val="2F5496" w:themeColor="accent5" w:themeShade="BF"/>
        </w:rPr>
      </w:pPr>
      <w:r w:rsidRPr="00E53D40">
        <w:rPr>
          <w:rFonts w:ascii="Arial" w:hAnsi="Arial" w:cs="Arial"/>
          <w:color w:val="2F5496" w:themeColor="accent5" w:themeShade="BF"/>
        </w:rPr>
        <w:t>“Business” in this context does not refer to a particular organization type. Instead, it refers to the requirement that the references in question can speak to the organization’s and individual’s relevant professional/business accomplishments. References may be any individual external to the Applicant’s own organization who can speak to the Applicant’s ability to carry out the proposed project. Examples may be collaborators on past infrastructure projects or previous funders of such projects. References may not be employees of Commerce.</w:t>
      </w:r>
    </w:p>
    <w:p w14:paraId="10EE69A7" w14:textId="77777777" w:rsidR="00780C51" w:rsidRPr="00E53D40" w:rsidRDefault="00780C51" w:rsidP="00780C51">
      <w:pPr>
        <w:pStyle w:val="ListParagraph"/>
        <w:numPr>
          <w:ilvl w:val="0"/>
          <w:numId w:val="4"/>
        </w:numPr>
        <w:spacing w:before="240"/>
        <w:rPr>
          <w:rFonts w:ascii="Arial" w:hAnsi="Arial" w:cs="Arial"/>
          <w:color w:val="2F5496" w:themeColor="accent5" w:themeShade="BF"/>
        </w:rPr>
      </w:pPr>
      <w:r w:rsidRPr="00E53D40">
        <w:rPr>
          <w:rFonts w:ascii="Arial" w:hAnsi="Arial" w:cs="Arial"/>
          <w:color w:val="2F5496" w:themeColor="accent5" w:themeShade="BF"/>
        </w:rPr>
        <w:t>Is there any consideration of extending the deadline for the ETS grant?  It will be difficult for us to complete this grant in a timely manner without their input if the curve of COVID-19 doesn’t flatten.</w:t>
      </w:r>
    </w:p>
    <w:p w14:paraId="2557D7CD" w14:textId="77777777" w:rsidR="00780C51" w:rsidRPr="001902C9" w:rsidRDefault="00780C51" w:rsidP="00780C51">
      <w:pPr>
        <w:spacing w:before="240"/>
        <w:rPr>
          <w:rFonts w:ascii="Arial" w:hAnsi="Arial" w:cs="Arial"/>
          <w:color w:val="2F5496" w:themeColor="accent5" w:themeShade="BF"/>
        </w:rPr>
      </w:pPr>
      <w:r w:rsidRPr="00E53D40">
        <w:rPr>
          <w:rFonts w:ascii="Arial" w:hAnsi="Arial" w:cs="Arial"/>
          <w:color w:val="2F5496" w:themeColor="accent5" w:themeShade="BF"/>
        </w:rPr>
        <w:t xml:space="preserve">Commerce has received multiple inquiries requesting an extension of ETS program timelines. We are currently considering </w:t>
      </w:r>
      <w:r w:rsidRPr="001902C9">
        <w:rPr>
          <w:rFonts w:ascii="Arial" w:hAnsi="Arial" w:cs="Arial"/>
          <w:color w:val="2F5496" w:themeColor="accent5" w:themeShade="BF"/>
        </w:rPr>
        <w:t>an appropriate extension to program timelines. Notifications will be sent to eligible LOI submitters as soon as more information is available.</w:t>
      </w:r>
    </w:p>
    <w:p w14:paraId="35FEACCA" w14:textId="77777777" w:rsidR="00780C51" w:rsidRPr="001902C9" w:rsidRDefault="00780C51" w:rsidP="00780C51">
      <w:pPr>
        <w:spacing w:before="240"/>
        <w:rPr>
          <w:rFonts w:ascii="Arial" w:hAnsi="Arial" w:cs="Arial"/>
          <w:color w:val="2F5496" w:themeColor="accent5" w:themeShade="BF"/>
        </w:rPr>
      </w:pPr>
      <w:r w:rsidRPr="001902C9">
        <w:rPr>
          <w:rFonts w:ascii="Arial" w:hAnsi="Arial" w:cs="Arial"/>
          <w:color w:val="2F5496" w:themeColor="accent5" w:themeShade="BF"/>
        </w:rPr>
        <w:t xml:space="preserve">Update 4/6/2020: Commerce has posted an updated RFA to the program </w:t>
      </w:r>
      <w:hyperlink r:id="rId27" w:history="1">
        <w:r w:rsidRPr="001902C9">
          <w:rPr>
            <w:rStyle w:val="Hyperlink"/>
            <w:rFonts w:ascii="Arial" w:hAnsi="Arial" w:cs="Arial"/>
            <w:color w:val="2F5496" w:themeColor="accent5" w:themeShade="BF"/>
          </w:rPr>
          <w:t>website</w:t>
        </w:r>
      </w:hyperlink>
      <w:r w:rsidRPr="001902C9">
        <w:rPr>
          <w:rFonts w:ascii="Arial" w:hAnsi="Arial" w:cs="Arial"/>
          <w:color w:val="2F5496" w:themeColor="accent5" w:themeShade="BF"/>
        </w:rPr>
        <w:t xml:space="preserve"> that reflects an updated solicitation timeline and updates to primary applicant eligibility.</w:t>
      </w:r>
    </w:p>
    <w:p w14:paraId="063788A5" w14:textId="77777777" w:rsidR="00780C51" w:rsidRPr="00E53D40" w:rsidRDefault="00780C51" w:rsidP="00780C51">
      <w:pPr>
        <w:pStyle w:val="ListParagraph"/>
        <w:numPr>
          <w:ilvl w:val="0"/>
          <w:numId w:val="4"/>
        </w:numPr>
        <w:spacing w:before="240"/>
        <w:rPr>
          <w:rFonts w:ascii="Arial" w:hAnsi="Arial" w:cs="Arial"/>
          <w:color w:val="2F5496" w:themeColor="accent5" w:themeShade="BF"/>
        </w:rPr>
      </w:pPr>
      <w:r w:rsidRPr="00E53D40">
        <w:rPr>
          <w:rFonts w:ascii="Arial" w:hAnsi="Arial" w:cs="Arial"/>
          <w:color w:val="2F5496" w:themeColor="accent5" w:themeShade="BF"/>
        </w:rPr>
        <w:t xml:space="preserve">According to the NOFA Section 4.7.A REQUIREMENTS OF SUCCESSFUL APPLICANTS:   </w:t>
      </w:r>
      <w:r w:rsidRPr="00E53D40">
        <w:rPr>
          <w:rFonts w:ascii="Arial" w:hAnsi="Arial" w:cs="Arial"/>
          <w:i/>
          <w:color w:val="2F5496" w:themeColor="accent5" w:themeShade="BF"/>
        </w:rPr>
        <w:t>Are responsible for all costs incurred prior to the execution of a contract and not have the expectation for reimbursement of those costs</w:t>
      </w:r>
      <w:r w:rsidRPr="00E53D40">
        <w:rPr>
          <w:rFonts w:ascii="Arial" w:hAnsi="Arial" w:cs="Arial"/>
          <w:color w:val="2F5496" w:themeColor="accent5" w:themeShade="BF"/>
        </w:rPr>
        <w:t xml:space="preserve">. However the QA 3-17-2020 in response to Question 26. states:  </w:t>
      </w:r>
      <w:r w:rsidRPr="00E53D40">
        <w:rPr>
          <w:rFonts w:ascii="Arial" w:hAnsi="Arial" w:cs="Arial"/>
          <w:i/>
          <w:color w:val="2F5496" w:themeColor="accent5" w:themeShade="BF"/>
        </w:rPr>
        <w:t xml:space="preserve">ETS monies cannot be used to fund project costs incurred prior to Commerce’s issuance of the award letter. </w:t>
      </w:r>
      <w:r w:rsidRPr="00E53D40">
        <w:rPr>
          <w:rFonts w:ascii="Arial" w:hAnsi="Arial" w:cs="Arial"/>
          <w:color w:val="2F5496" w:themeColor="accent5" w:themeShade="BF"/>
        </w:rPr>
        <w:t>Could you please clarify if costs eligibility begins at point of award letter issuance, or at execution of an award contract?</w:t>
      </w:r>
    </w:p>
    <w:p w14:paraId="1B81CB74" w14:textId="3EB5BAC2" w:rsidR="00780C51" w:rsidRPr="00E53D40" w:rsidRDefault="00780C51" w:rsidP="00780C51">
      <w:pPr>
        <w:spacing w:before="240"/>
        <w:rPr>
          <w:rFonts w:ascii="Arial" w:hAnsi="Arial" w:cs="Arial"/>
          <w:color w:val="2F5496" w:themeColor="accent5" w:themeShade="BF"/>
        </w:rPr>
      </w:pPr>
      <w:r w:rsidRPr="00E53D40">
        <w:rPr>
          <w:rFonts w:ascii="Arial" w:hAnsi="Arial" w:cs="Arial"/>
          <w:color w:val="2F5496" w:themeColor="accent5" w:themeShade="BF"/>
        </w:rPr>
        <w:lastRenderedPageBreak/>
        <w:t xml:space="preserve">Commerce has the ability to permit reimbursement for project costs </w:t>
      </w:r>
      <w:r w:rsidR="004332F0">
        <w:rPr>
          <w:rFonts w:ascii="Arial" w:hAnsi="Arial" w:cs="Arial"/>
          <w:color w:val="2F5496" w:themeColor="accent5" w:themeShade="BF"/>
        </w:rPr>
        <w:t xml:space="preserve">incurred </w:t>
      </w:r>
      <w:r w:rsidRPr="00E53D40">
        <w:rPr>
          <w:rFonts w:ascii="Arial" w:hAnsi="Arial" w:cs="Arial"/>
          <w:color w:val="2F5496" w:themeColor="accent5" w:themeShade="BF"/>
        </w:rPr>
        <w:t>as early as the date that award letters are issued to successful applicants, however this is subject to contract negotiation and successful applicants have no expectation of reimbursement for these costs. Successful applicants interested in reimbursing for expenditures</w:t>
      </w:r>
      <w:r w:rsidR="004332F0">
        <w:rPr>
          <w:rFonts w:ascii="Arial" w:hAnsi="Arial" w:cs="Arial"/>
          <w:color w:val="2F5496" w:themeColor="accent5" w:themeShade="BF"/>
        </w:rPr>
        <w:t xml:space="preserve"> incurred</w:t>
      </w:r>
      <w:r w:rsidRPr="00E53D40">
        <w:rPr>
          <w:rFonts w:ascii="Arial" w:hAnsi="Arial" w:cs="Arial"/>
          <w:color w:val="2F5496" w:themeColor="accent5" w:themeShade="BF"/>
        </w:rPr>
        <w:t xml:space="preserve"> prior to contract execution should notify their Commerce contract manager at their earliest convenience so that this can be addressed.</w:t>
      </w:r>
    </w:p>
    <w:p w14:paraId="5D66ECBE" w14:textId="77777777" w:rsidR="00780C51" w:rsidRPr="00E53D40" w:rsidRDefault="00780C51" w:rsidP="00780C51">
      <w:pPr>
        <w:pStyle w:val="ListParagraph"/>
        <w:numPr>
          <w:ilvl w:val="0"/>
          <w:numId w:val="4"/>
        </w:numPr>
        <w:spacing w:before="240"/>
        <w:rPr>
          <w:rFonts w:ascii="Arial" w:hAnsi="Arial" w:cs="Arial"/>
          <w:color w:val="2F5496" w:themeColor="accent5" w:themeShade="BF"/>
        </w:rPr>
      </w:pPr>
      <w:r w:rsidRPr="00E53D40">
        <w:rPr>
          <w:rFonts w:ascii="Arial" w:hAnsi="Arial" w:cs="Arial"/>
          <w:color w:val="2F5496" w:themeColor="accent5" w:themeShade="BF"/>
        </w:rPr>
        <w:t>If the ability to start spending begins at the time Commerce issues the award letter, can you provide a rough idea of how far in advance of the actual award contract that letter might be issued?</w:t>
      </w:r>
    </w:p>
    <w:p w14:paraId="5095196D" w14:textId="77777777" w:rsidR="00780C51" w:rsidRPr="00E53D40" w:rsidRDefault="00780C51" w:rsidP="00780C51">
      <w:pPr>
        <w:spacing w:before="240"/>
        <w:rPr>
          <w:rFonts w:ascii="Arial" w:hAnsi="Arial" w:cs="Arial"/>
          <w:color w:val="2F5496" w:themeColor="accent5" w:themeShade="BF"/>
        </w:rPr>
      </w:pPr>
      <w:r w:rsidRPr="00E53D40">
        <w:rPr>
          <w:rFonts w:ascii="Arial" w:hAnsi="Arial" w:cs="Arial"/>
          <w:color w:val="2F5496" w:themeColor="accent5" w:themeShade="BF"/>
        </w:rPr>
        <w:t>Information on the program timeline can be found in RFA SECTION 2.2 ESTIMATED SCHEDULE OF PROCURMENT ACTIVITIES. Award letters will be issued when “Apparent Successful Grantees” are announced and notifications to unsuccessful applicants sent. A projected timeline for contract negotiations is also provided. Commerce reserves the right to revise this schedule.</w:t>
      </w:r>
    </w:p>
    <w:p w14:paraId="02FD53BA" w14:textId="77777777" w:rsidR="00780C51" w:rsidRPr="00E53D40" w:rsidRDefault="00780C51" w:rsidP="00780C51">
      <w:pPr>
        <w:pStyle w:val="ListParagraph"/>
        <w:numPr>
          <w:ilvl w:val="0"/>
          <w:numId w:val="4"/>
        </w:numPr>
        <w:spacing w:before="240"/>
        <w:rPr>
          <w:rFonts w:ascii="Arial" w:hAnsi="Arial" w:cs="Arial"/>
          <w:color w:val="2F5496" w:themeColor="accent5" w:themeShade="BF"/>
        </w:rPr>
      </w:pPr>
      <w:r w:rsidRPr="00E53D40">
        <w:rPr>
          <w:rFonts w:ascii="Arial" w:hAnsi="Arial" w:cs="Arial"/>
          <w:color w:val="2F5496" w:themeColor="accent5" w:themeShade="BF"/>
        </w:rPr>
        <w:t xml:space="preserve">At this time, do you anticipate any changes to the ETS procurement schedule given the COVID-19 situation? </w:t>
      </w:r>
    </w:p>
    <w:p w14:paraId="4B81B3FA" w14:textId="77777777" w:rsidR="00780C51" w:rsidRPr="00E53D40" w:rsidRDefault="00780C51" w:rsidP="00780C51">
      <w:pPr>
        <w:spacing w:before="240"/>
        <w:rPr>
          <w:rFonts w:ascii="Arial" w:hAnsi="Arial" w:cs="Arial"/>
          <w:color w:val="2F5496" w:themeColor="accent5" w:themeShade="BF"/>
        </w:rPr>
      </w:pPr>
      <w:r w:rsidRPr="00E53D40">
        <w:rPr>
          <w:rFonts w:ascii="Arial" w:hAnsi="Arial" w:cs="Arial"/>
          <w:color w:val="2F5496" w:themeColor="accent5" w:themeShade="BF"/>
        </w:rPr>
        <w:t>Please see our answer to Q&amp;A Question #139, above.</w:t>
      </w:r>
    </w:p>
    <w:p w14:paraId="49E25A82" w14:textId="77777777" w:rsidR="00780C51" w:rsidRPr="00E53D40" w:rsidRDefault="00780C51" w:rsidP="00780C51">
      <w:pPr>
        <w:pStyle w:val="ListParagraph"/>
        <w:numPr>
          <w:ilvl w:val="0"/>
          <w:numId w:val="4"/>
        </w:numPr>
        <w:spacing w:before="240"/>
        <w:rPr>
          <w:rFonts w:ascii="Arial" w:hAnsi="Arial" w:cs="Arial"/>
          <w:color w:val="2F5496" w:themeColor="accent5" w:themeShade="BF"/>
        </w:rPr>
      </w:pPr>
      <w:r w:rsidRPr="00E53D40">
        <w:rPr>
          <w:rFonts w:ascii="Arial" w:hAnsi="Arial" w:cs="Arial"/>
          <w:color w:val="2F5496" w:themeColor="accent5" w:themeShade="BF"/>
        </w:rPr>
        <w:t xml:space="preserve">Do you know if Commerce expects to adjust the timing, amount, or other items related to the EV grant opportunity?  And if so, do you know when that might be announced?  </w:t>
      </w:r>
    </w:p>
    <w:p w14:paraId="0BB71229" w14:textId="77777777" w:rsidR="00780C51" w:rsidRPr="0025108F" w:rsidRDefault="00780C51" w:rsidP="00780C51">
      <w:pPr>
        <w:spacing w:before="240"/>
        <w:rPr>
          <w:rFonts w:ascii="Arial" w:hAnsi="Arial" w:cs="Arial"/>
          <w:color w:val="2F5496" w:themeColor="accent5" w:themeShade="BF"/>
        </w:rPr>
      </w:pPr>
      <w:r w:rsidRPr="00E53D40">
        <w:rPr>
          <w:rFonts w:ascii="Arial" w:hAnsi="Arial" w:cs="Arial"/>
          <w:color w:val="2F5496" w:themeColor="accent5" w:themeShade="BF"/>
        </w:rPr>
        <w:t xml:space="preserve">Please see our answer to Q&amp;A Question #139, above. Changes will be announced in the coming weeks. </w:t>
      </w:r>
    </w:p>
    <w:p w14:paraId="094055B6" w14:textId="77777777" w:rsidR="00780C51" w:rsidRPr="0025108F" w:rsidRDefault="00780C51" w:rsidP="00780C51">
      <w:pPr>
        <w:pStyle w:val="ListParagraph"/>
        <w:numPr>
          <w:ilvl w:val="0"/>
          <w:numId w:val="4"/>
        </w:numPr>
        <w:spacing w:before="240"/>
        <w:rPr>
          <w:rFonts w:ascii="Arial" w:hAnsi="Arial" w:cs="Arial"/>
          <w:color w:val="2F5496" w:themeColor="accent5" w:themeShade="BF"/>
        </w:rPr>
      </w:pPr>
      <w:r w:rsidRPr="0025108F">
        <w:rPr>
          <w:rFonts w:ascii="Arial" w:hAnsi="Arial" w:cs="Arial"/>
          <w:color w:val="2F5496" w:themeColor="accent5" w:themeShade="BF"/>
        </w:rPr>
        <w:t>If a grant application has several charging locations identified and they fall into different match levels, i.e. one location qualifies for 1:1 match while another one qualifies for a 5:1 or 10:1 match, how will that be handled? Will the match amount required be determined by the individual locations in the grant, or will the grant require the highest match for all the locations? An example would be if 2 locations qualify for a 5:1 match and 1 locations qualifies for a 10:1 match and 2 locations qualify for a 1:1 match. What will the grant match be?</w:t>
      </w:r>
    </w:p>
    <w:p w14:paraId="0424DE0B" w14:textId="77777777" w:rsidR="00780C51" w:rsidRPr="0025108F" w:rsidRDefault="00780C51" w:rsidP="00780C51">
      <w:pPr>
        <w:spacing w:before="240"/>
        <w:rPr>
          <w:rFonts w:ascii="Arial" w:hAnsi="Arial" w:cs="Arial"/>
          <w:color w:val="2F5496" w:themeColor="accent5" w:themeShade="BF"/>
        </w:rPr>
      </w:pPr>
      <w:r w:rsidRPr="0025108F">
        <w:rPr>
          <w:rFonts w:ascii="Arial" w:hAnsi="Arial" w:cs="Arial"/>
          <w:color w:val="2F5496" w:themeColor="accent5" w:themeShade="BF"/>
        </w:rPr>
        <w:t>Please see RFA SECTION 1.4 FUNDING.</w:t>
      </w:r>
      <w:r w:rsidRPr="0025108F">
        <w:rPr>
          <w:color w:val="2F5496" w:themeColor="accent5" w:themeShade="BF"/>
        </w:rPr>
        <w:t xml:space="preserve"> </w:t>
      </w:r>
      <w:r w:rsidRPr="0025108F">
        <w:rPr>
          <w:rFonts w:ascii="Arial" w:hAnsi="Arial" w:cs="Arial"/>
          <w:color w:val="2F5496" w:themeColor="accent5" w:themeShade="BF"/>
        </w:rPr>
        <w:t xml:space="preserve">Reduced match options should be viewed as an extraordinary opportunity for an exceptional circumstance. To be eligible for reduced match, </w:t>
      </w:r>
      <w:r w:rsidRPr="0025108F">
        <w:rPr>
          <w:rFonts w:ascii="Arial" w:hAnsi="Arial" w:cs="Arial"/>
          <w:i/>
          <w:color w:val="2F5496" w:themeColor="accent5" w:themeShade="BF"/>
        </w:rPr>
        <w:t>each</w:t>
      </w:r>
      <w:r w:rsidRPr="0025108F">
        <w:rPr>
          <w:rFonts w:ascii="Arial" w:hAnsi="Arial" w:cs="Arial"/>
          <w:color w:val="2F5496" w:themeColor="accent5" w:themeShade="BF"/>
        </w:rPr>
        <w:t xml:space="preserve"> of a project’s sites must fit the eligibility criterion for that reduced match option. In the example given, the match ratio would be the standard 1:1. </w:t>
      </w:r>
    </w:p>
    <w:p w14:paraId="156704F2" w14:textId="77777777" w:rsidR="00780C51" w:rsidRPr="0025108F" w:rsidRDefault="00780C51" w:rsidP="00780C51">
      <w:pPr>
        <w:pStyle w:val="ListParagraph"/>
        <w:numPr>
          <w:ilvl w:val="0"/>
          <w:numId w:val="4"/>
        </w:numPr>
        <w:spacing w:before="240"/>
        <w:rPr>
          <w:rFonts w:ascii="Arial" w:hAnsi="Arial" w:cs="Arial"/>
          <w:color w:val="2F5496" w:themeColor="accent5" w:themeShade="BF"/>
        </w:rPr>
      </w:pPr>
      <w:r w:rsidRPr="0025108F">
        <w:rPr>
          <w:rFonts w:ascii="Arial" w:hAnsi="Arial" w:cs="Arial"/>
          <w:color w:val="2F5496" w:themeColor="accent5" w:themeShade="BF"/>
        </w:rPr>
        <w:t>Given the post COVID-19 uncertainty, are we able to withdraw an application after submittal if we no longer have the available funds to contribute?</w:t>
      </w:r>
    </w:p>
    <w:p w14:paraId="2C356D31" w14:textId="77777777" w:rsidR="00780C51" w:rsidRPr="0025108F" w:rsidRDefault="00780C51" w:rsidP="00780C51">
      <w:pPr>
        <w:spacing w:before="240"/>
        <w:rPr>
          <w:rFonts w:ascii="Arial" w:hAnsi="Arial" w:cs="Arial"/>
          <w:color w:val="2F5496" w:themeColor="accent5" w:themeShade="BF"/>
        </w:rPr>
      </w:pPr>
      <w:r w:rsidRPr="0025108F">
        <w:rPr>
          <w:rFonts w:ascii="Arial" w:hAnsi="Arial" w:cs="Arial"/>
          <w:color w:val="2F5496" w:themeColor="accent5" w:themeShade="BF"/>
        </w:rPr>
        <w:t>Yes. Additionally, it may be noted that Commerce reserves the right to reduce</w:t>
      </w:r>
      <w:r w:rsidRPr="0025108F">
        <w:rPr>
          <w:color w:val="2F5496" w:themeColor="accent5" w:themeShade="BF"/>
        </w:rPr>
        <w:t xml:space="preserve"> </w:t>
      </w:r>
      <w:r w:rsidRPr="0025108F">
        <w:rPr>
          <w:rFonts w:ascii="Arial" w:hAnsi="Arial" w:cs="Arial"/>
          <w:color w:val="2F5496" w:themeColor="accent5" w:themeShade="BF"/>
        </w:rPr>
        <w:t>award amounts to ensure minimum match requirements are met.</w:t>
      </w:r>
    </w:p>
    <w:p w14:paraId="18AAA9E6" w14:textId="77777777" w:rsidR="00780C51" w:rsidRPr="0025108F" w:rsidRDefault="00780C51" w:rsidP="00780C51">
      <w:pPr>
        <w:pStyle w:val="ListParagraph"/>
        <w:numPr>
          <w:ilvl w:val="0"/>
          <w:numId w:val="4"/>
        </w:numPr>
        <w:spacing w:before="240"/>
        <w:rPr>
          <w:rFonts w:ascii="Arial" w:hAnsi="Arial" w:cs="Arial"/>
          <w:color w:val="2F5496" w:themeColor="accent5" w:themeShade="BF"/>
        </w:rPr>
      </w:pPr>
      <w:r w:rsidRPr="0025108F">
        <w:rPr>
          <w:rFonts w:ascii="Arial" w:hAnsi="Arial" w:cs="Arial"/>
          <w:color w:val="2F5496" w:themeColor="accent5" w:themeShade="BF"/>
        </w:rPr>
        <w:lastRenderedPageBreak/>
        <w:t>I am curious who the required signatory will be for the ETS grant? Would the Port’s Executive Director be sufficient, or do we need a signed commission resolution? I trying to manage the application while much of our staff and leadership are working from home. Any thoughts are welcome.</w:t>
      </w:r>
    </w:p>
    <w:p w14:paraId="66449FC3" w14:textId="77777777" w:rsidR="00780C51" w:rsidRPr="0025108F" w:rsidRDefault="00780C51" w:rsidP="00780C51">
      <w:pPr>
        <w:spacing w:before="240"/>
        <w:rPr>
          <w:rFonts w:ascii="Arial" w:hAnsi="Arial" w:cs="Arial"/>
          <w:color w:val="2F5496" w:themeColor="accent5" w:themeShade="BF"/>
        </w:rPr>
      </w:pPr>
      <w:r w:rsidRPr="0025108F">
        <w:rPr>
          <w:rFonts w:ascii="Arial" w:hAnsi="Arial" w:cs="Arial"/>
          <w:color w:val="2F5496" w:themeColor="accent5" w:themeShade="BF"/>
        </w:rPr>
        <w:t>As stated in RFA SECTION 2.5 SUBMISSION OF APPLICATIONS, The Letter of Submittal and the Certifications and Assurances form must have a scanned signature of the individual within the organization authorized to bind the Applicant to the offer. It is up to the applicant to determine which individual this would be, as well as what internal approval process is needed.</w:t>
      </w:r>
    </w:p>
    <w:p w14:paraId="71B1F96B" w14:textId="77777777" w:rsidR="00780C51" w:rsidRPr="0025108F" w:rsidRDefault="00780C51" w:rsidP="00780C51">
      <w:pPr>
        <w:pStyle w:val="ListParagraph"/>
        <w:numPr>
          <w:ilvl w:val="0"/>
          <w:numId w:val="4"/>
        </w:numPr>
        <w:spacing w:before="240"/>
        <w:rPr>
          <w:rFonts w:ascii="Arial" w:hAnsi="Arial" w:cs="Arial"/>
          <w:color w:val="2F5496" w:themeColor="accent5" w:themeShade="BF"/>
        </w:rPr>
      </w:pPr>
      <w:r w:rsidRPr="0025108F">
        <w:rPr>
          <w:rFonts w:ascii="Arial" w:hAnsi="Arial" w:cs="Arial"/>
          <w:color w:val="2F5496" w:themeColor="accent5" w:themeShade="BF"/>
        </w:rPr>
        <w:t>The RFA defines a "Multi-Unit Dwelling: A resident building composed of four or more distinct dwelling units and that has off-street parking." Would university housing complexes count as acceptable MUDs?</w:t>
      </w:r>
    </w:p>
    <w:p w14:paraId="53BA6832" w14:textId="77777777" w:rsidR="00780C51" w:rsidRPr="0025108F" w:rsidRDefault="00780C51" w:rsidP="00780C51">
      <w:pPr>
        <w:spacing w:before="240"/>
        <w:rPr>
          <w:rFonts w:ascii="Arial" w:hAnsi="Arial" w:cs="Arial"/>
          <w:color w:val="2F5496" w:themeColor="accent5" w:themeShade="BF"/>
        </w:rPr>
      </w:pPr>
      <w:r w:rsidRPr="0025108F">
        <w:rPr>
          <w:rFonts w:ascii="Arial" w:hAnsi="Arial" w:cs="Arial"/>
          <w:color w:val="2F5496" w:themeColor="accent5" w:themeShade="BF"/>
        </w:rPr>
        <w:t>Yes, assuming they are composed of four or more distinct dwelling units and have off-street parking.</w:t>
      </w:r>
    </w:p>
    <w:p w14:paraId="313C166A" w14:textId="77777777" w:rsidR="00780C51" w:rsidRPr="00CC2DB6" w:rsidRDefault="00780C51" w:rsidP="00780C51">
      <w:pPr>
        <w:pStyle w:val="ListParagraph"/>
        <w:numPr>
          <w:ilvl w:val="0"/>
          <w:numId w:val="4"/>
        </w:numPr>
        <w:spacing w:before="240"/>
        <w:rPr>
          <w:rFonts w:ascii="Arial" w:hAnsi="Arial" w:cs="Arial"/>
          <w:color w:val="2F5496" w:themeColor="accent5" w:themeShade="BF"/>
        </w:rPr>
      </w:pPr>
      <w:r w:rsidRPr="0025108F">
        <w:rPr>
          <w:rFonts w:ascii="Arial" w:hAnsi="Arial" w:cs="Arial"/>
          <w:color w:val="2F5496" w:themeColor="accent5" w:themeShade="BF"/>
        </w:rPr>
        <w:t xml:space="preserve">In light of the restrictions to essential businesses due to COVID-19, there are requirements of the grant that my team is worried about accomplishing by the May 5 deadline. I have seen in the Q/A that Commerce is considering extending the deadline. When will information regarding the effects of COVID-19 on the grant process be sent </w:t>
      </w:r>
      <w:r w:rsidRPr="00CC2DB6">
        <w:rPr>
          <w:rFonts w:ascii="Arial" w:hAnsi="Arial" w:cs="Arial"/>
          <w:color w:val="2F5496" w:themeColor="accent5" w:themeShade="BF"/>
        </w:rPr>
        <w:t>out to grant applicants?</w:t>
      </w:r>
    </w:p>
    <w:p w14:paraId="6934A896" w14:textId="77777777" w:rsidR="00780C51" w:rsidRPr="00CC2DB6" w:rsidRDefault="00780C51" w:rsidP="00780C51">
      <w:pPr>
        <w:spacing w:before="240"/>
        <w:rPr>
          <w:rFonts w:ascii="Arial" w:hAnsi="Arial" w:cs="Arial"/>
          <w:color w:val="2F5496" w:themeColor="accent5" w:themeShade="BF"/>
        </w:rPr>
      </w:pPr>
      <w:r w:rsidRPr="00CC2DB6">
        <w:rPr>
          <w:rFonts w:ascii="Arial" w:hAnsi="Arial" w:cs="Arial"/>
          <w:color w:val="2F5496" w:themeColor="accent5" w:themeShade="BF"/>
        </w:rPr>
        <w:t xml:space="preserve">Updated 4/6/2020: Please see our response to Q&amp;A Question #139. </w:t>
      </w:r>
      <w:r w:rsidRPr="00CC2DB6">
        <w:rPr>
          <w:rFonts w:ascii="Arial" w:hAnsi="Arial" w:cs="Arial"/>
          <w:strike/>
          <w:color w:val="2F5496" w:themeColor="accent5" w:themeShade="BF"/>
        </w:rPr>
        <w:t>We will make information about changes public as soon as they are available.</w:t>
      </w:r>
    </w:p>
    <w:p w14:paraId="3E1E9891" w14:textId="77777777" w:rsidR="004574AE" w:rsidRPr="004574AE" w:rsidRDefault="004574AE" w:rsidP="004574AE">
      <w:pPr>
        <w:pStyle w:val="ListParagraph"/>
        <w:numPr>
          <w:ilvl w:val="0"/>
          <w:numId w:val="4"/>
        </w:numPr>
        <w:spacing w:before="240"/>
        <w:rPr>
          <w:rFonts w:ascii="Arial" w:hAnsi="Arial" w:cs="Arial"/>
          <w:color w:val="2F5496" w:themeColor="accent5" w:themeShade="BF"/>
        </w:rPr>
      </w:pPr>
      <w:r w:rsidRPr="004574AE">
        <w:rPr>
          <w:rFonts w:ascii="Arial" w:hAnsi="Arial" w:cs="Arial"/>
          <w:i/>
          <w:color w:val="2F5496" w:themeColor="accent5" w:themeShade="BF"/>
        </w:rPr>
        <w:t xml:space="preserve">Page 5 &amp; 6 of 1.3 MINIMUM QUALIFICATIONS Equipment (6) The EVSE hardware must be commercially available in Washington State. </w:t>
      </w:r>
      <w:r w:rsidRPr="004574AE">
        <w:rPr>
          <w:rFonts w:ascii="Arial" w:hAnsi="Arial" w:cs="Arial"/>
          <w:color w:val="2F5496" w:themeColor="accent5" w:themeShade="BF"/>
        </w:rPr>
        <w:t>Skagit County has performed extensive research on batteries and charging components with regard to our Electric Ferry and Shore-Side Facility Project(s) and base on this research we have not found a company or components that are available or manufactured within Washington State or the United States for that matter. Based on this information and the minimum qualifications for equipment line 6), would this disqualify our project?</w:t>
      </w:r>
    </w:p>
    <w:p w14:paraId="36CFBF2E" w14:textId="6F036568" w:rsidR="004574AE" w:rsidRPr="004574AE" w:rsidRDefault="004574AE" w:rsidP="004574AE">
      <w:pPr>
        <w:spacing w:before="240"/>
        <w:rPr>
          <w:rFonts w:ascii="Arial" w:hAnsi="Arial" w:cs="Arial"/>
        </w:rPr>
      </w:pPr>
      <w:r>
        <w:rPr>
          <w:rFonts w:ascii="Arial" w:hAnsi="Arial" w:cs="Arial"/>
        </w:rPr>
        <w:t>Commerce recognizes that not a</w:t>
      </w:r>
      <w:r w:rsidR="00410399">
        <w:rPr>
          <w:rFonts w:ascii="Arial" w:hAnsi="Arial" w:cs="Arial"/>
        </w:rPr>
        <w:t xml:space="preserve">ll EVSE applications will have progressed to the stage of widespread standardization and “off-the-shelf” availability. </w:t>
      </w:r>
      <w:r>
        <w:rPr>
          <w:rFonts w:ascii="Arial" w:hAnsi="Arial" w:cs="Arial"/>
        </w:rPr>
        <w:t>Equipment requirement #6 under RFA SECTION 1.3 MINIMUM QUALIFICATIONS is not intended to limit EVSE</w:t>
      </w:r>
      <w:r w:rsidR="00410399">
        <w:rPr>
          <w:rFonts w:ascii="Arial" w:hAnsi="Arial" w:cs="Arial"/>
        </w:rPr>
        <w:t xml:space="preserve"> employed to equipment manufactured in Washington State, and EVSE manufactured to the specifications of the specific project is acceptable as long as </w:t>
      </w:r>
      <w:r w:rsidR="002B02D4">
        <w:rPr>
          <w:rFonts w:ascii="Arial" w:hAnsi="Arial" w:cs="Arial"/>
        </w:rPr>
        <w:t xml:space="preserve">said equipment a) complies with all relevant laws and regulations and b) is manufactured in line with </w:t>
      </w:r>
      <w:r w:rsidR="005C2D9C" w:rsidRPr="005C2D9C">
        <w:rPr>
          <w:rFonts w:ascii="Arial" w:hAnsi="Arial" w:cs="Arial"/>
        </w:rPr>
        <w:t>pertinent industry standards and certifications</w:t>
      </w:r>
      <w:r w:rsidR="00410399">
        <w:rPr>
          <w:rFonts w:ascii="Arial" w:hAnsi="Arial" w:cs="Arial"/>
        </w:rPr>
        <w:t>.</w:t>
      </w:r>
    </w:p>
    <w:p w14:paraId="5AE60CA5" w14:textId="77777777" w:rsidR="004574AE" w:rsidRPr="004574AE" w:rsidRDefault="004574AE" w:rsidP="004574AE">
      <w:pPr>
        <w:pStyle w:val="ListParagraph"/>
        <w:numPr>
          <w:ilvl w:val="0"/>
          <w:numId w:val="4"/>
        </w:numPr>
        <w:spacing w:before="240"/>
        <w:rPr>
          <w:rFonts w:ascii="Arial" w:hAnsi="Arial" w:cs="Arial"/>
          <w:color w:val="2F5496" w:themeColor="accent5" w:themeShade="BF"/>
        </w:rPr>
      </w:pPr>
      <w:r w:rsidRPr="004574AE">
        <w:rPr>
          <w:rFonts w:ascii="Arial" w:hAnsi="Arial" w:cs="Arial"/>
          <w:color w:val="2F5496" w:themeColor="accent5" w:themeShade="BF"/>
        </w:rPr>
        <w:t>Full Application Evaluation vii. EVSE (up to 25 points)</w:t>
      </w:r>
    </w:p>
    <w:p w14:paraId="467FF3FA" w14:textId="77777777" w:rsidR="004574AE" w:rsidRPr="004574AE" w:rsidRDefault="004574AE" w:rsidP="004574AE">
      <w:pPr>
        <w:pStyle w:val="ListParagraph"/>
        <w:rPr>
          <w:rFonts w:ascii="Arial" w:hAnsi="Arial" w:cs="Arial"/>
          <w:color w:val="2F5496" w:themeColor="accent5" w:themeShade="BF"/>
        </w:rPr>
      </w:pPr>
    </w:p>
    <w:p w14:paraId="35BF9616" w14:textId="77777777" w:rsidR="004574AE" w:rsidRPr="004574AE" w:rsidRDefault="004574AE" w:rsidP="004574AE">
      <w:pPr>
        <w:pStyle w:val="ListParagraph"/>
        <w:numPr>
          <w:ilvl w:val="1"/>
          <w:numId w:val="30"/>
        </w:numPr>
        <w:spacing w:before="240"/>
        <w:rPr>
          <w:rFonts w:ascii="Arial" w:hAnsi="Arial" w:cs="Arial"/>
          <w:color w:val="2F5496" w:themeColor="accent5" w:themeShade="BF"/>
        </w:rPr>
      </w:pPr>
      <w:r w:rsidRPr="004574AE">
        <w:rPr>
          <w:rFonts w:ascii="Arial" w:hAnsi="Arial" w:cs="Arial"/>
          <w:color w:val="2F5496" w:themeColor="accent5" w:themeShade="BF"/>
        </w:rPr>
        <w:t>Number of Plugs (RFA SECTION 3.2 A.ix) A greater number of plugs across project sites will receive more points</w:t>
      </w:r>
    </w:p>
    <w:p w14:paraId="11EDA2C9" w14:textId="77777777" w:rsidR="004574AE" w:rsidRPr="004574AE" w:rsidRDefault="004574AE" w:rsidP="004574AE">
      <w:pPr>
        <w:pStyle w:val="ListParagraph"/>
        <w:numPr>
          <w:ilvl w:val="1"/>
          <w:numId w:val="30"/>
        </w:numPr>
        <w:spacing w:before="240"/>
        <w:rPr>
          <w:rFonts w:ascii="Arial" w:hAnsi="Arial" w:cs="Arial"/>
          <w:color w:val="2F5496" w:themeColor="accent5" w:themeShade="BF"/>
        </w:rPr>
      </w:pPr>
      <w:r w:rsidRPr="004574AE">
        <w:rPr>
          <w:rFonts w:ascii="Arial" w:hAnsi="Arial" w:cs="Arial"/>
          <w:color w:val="2F5496" w:themeColor="accent5" w:themeShade="BF"/>
        </w:rPr>
        <w:lastRenderedPageBreak/>
        <w:t>Payment method accessibility (RFA SECTION 3.1 E.ii – submitted as component of the Pre-Application) Projects providing more options for payment will receive more points.</w:t>
      </w:r>
    </w:p>
    <w:p w14:paraId="648AB5DC" w14:textId="77777777" w:rsidR="004574AE" w:rsidRPr="004574AE" w:rsidRDefault="004574AE" w:rsidP="004574AE">
      <w:pPr>
        <w:pStyle w:val="ListParagraph"/>
        <w:numPr>
          <w:ilvl w:val="1"/>
          <w:numId w:val="30"/>
        </w:numPr>
        <w:spacing w:before="240"/>
        <w:rPr>
          <w:rFonts w:ascii="Arial" w:hAnsi="Arial" w:cs="Arial"/>
          <w:color w:val="2F5496" w:themeColor="accent5" w:themeShade="BF"/>
        </w:rPr>
      </w:pPr>
      <w:r w:rsidRPr="004574AE">
        <w:rPr>
          <w:rFonts w:ascii="Arial" w:hAnsi="Arial" w:cs="Arial"/>
          <w:color w:val="2F5496" w:themeColor="accent5" w:themeShade="BF"/>
        </w:rPr>
        <w:t>Hardware and software interoperability (RFA SECTION 3.1 E.ii – submitted as component of the Pre-Application) Projects aligning with industry best practices for interoperability will receive more points.</w:t>
      </w:r>
    </w:p>
    <w:p w14:paraId="386FA5A5" w14:textId="77777777" w:rsidR="004574AE" w:rsidRPr="004574AE" w:rsidRDefault="004574AE" w:rsidP="004574AE">
      <w:pPr>
        <w:spacing w:before="240"/>
        <w:ind w:left="1080"/>
        <w:rPr>
          <w:rFonts w:ascii="Arial" w:hAnsi="Arial" w:cs="Arial"/>
          <w:color w:val="2F5496" w:themeColor="accent5" w:themeShade="BF"/>
        </w:rPr>
      </w:pPr>
      <w:r w:rsidRPr="004574AE">
        <w:rPr>
          <w:rFonts w:ascii="Arial" w:hAnsi="Arial" w:cs="Arial"/>
          <w:color w:val="2F5496" w:themeColor="accent5" w:themeShade="BF"/>
        </w:rPr>
        <w:t>This sections appears to be tailored almost solely to electric road vehicle servicing stations, rendering it not applicable to a marine vessel charging application. We would like verification on how this category would be scored as this equates to 8% of the total points in the application.  If a marine vessel charging application is deemed “Non-Applicable” to this category would it mean that the project would receive the full 25 points or no points at all in this category?</w:t>
      </w:r>
    </w:p>
    <w:p w14:paraId="2E3273EC" w14:textId="77777777" w:rsidR="004574AE" w:rsidRPr="004574AE" w:rsidRDefault="004574AE" w:rsidP="004574AE">
      <w:pPr>
        <w:spacing w:before="240"/>
        <w:rPr>
          <w:rFonts w:ascii="Arial" w:hAnsi="Arial" w:cs="Arial"/>
          <w:color w:val="2F5496" w:themeColor="accent5" w:themeShade="BF"/>
        </w:rPr>
      </w:pPr>
      <w:r w:rsidRPr="004574AE">
        <w:rPr>
          <w:rFonts w:ascii="Arial" w:hAnsi="Arial" w:cs="Arial"/>
          <w:color w:val="2F5496" w:themeColor="accent5" w:themeShade="BF"/>
        </w:rPr>
        <w:t>These questions will be evaluated as applicable. Each project will receive a score for the number of plugs across project sites. Projects that employ EVSE that does not collect payment will receive full points.</w:t>
      </w:r>
      <w:r w:rsidRPr="004574AE">
        <w:rPr>
          <w:color w:val="2F5496" w:themeColor="accent5" w:themeShade="BF"/>
        </w:rPr>
        <w:t xml:space="preserve"> </w:t>
      </w:r>
      <w:r w:rsidRPr="004574AE">
        <w:rPr>
          <w:rFonts w:ascii="Arial" w:hAnsi="Arial" w:cs="Arial"/>
          <w:color w:val="2F5496" w:themeColor="accent5" w:themeShade="BF"/>
        </w:rPr>
        <w:t xml:space="preserve">Applicants with projects that employ EVSE that are otherwise exempt from certain application requirements due to their unique end uses are still expected to discuss how their proposed EVSE complies with industry best practices for interoperability, including evidence that indicates the technology is in early stages and will likely evolve in the future as updates are made. Commerce understands the quickly evolving markets for EVSE, particularly those in heavy-duty and off-road applications. Applicants should include information from the EVSE manufacturer or similar source that discusses the state of technology, particularly interoperability, if possible. If a reasonable effort produces no relevant information, applicants should state so. </w:t>
      </w:r>
    </w:p>
    <w:p w14:paraId="6095FB6D" w14:textId="77777777" w:rsidR="004574AE" w:rsidRPr="004574AE" w:rsidRDefault="004574AE" w:rsidP="004574AE">
      <w:pPr>
        <w:spacing w:before="240"/>
        <w:rPr>
          <w:rFonts w:ascii="Arial" w:hAnsi="Arial" w:cs="Arial"/>
          <w:color w:val="2F5496" w:themeColor="accent5" w:themeShade="BF"/>
        </w:rPr>
      </w:pPr>
      <w:r w:rsidRPr="004574AE">
        <w:rPr>
          <w:rFonts w:ascii="Arial" w:hAnsi="Arial" w:cs="Arial"/>
          <w:color w:val="2F5496" w:themeColor="accent5" w:themeShade="BF"/>
        </w:rPr>
        <w:t>Applicants should also note that, as stated in RFA SECTION 4.2 EVALUATION BREAKDOWN, Commerce will likely choose to evaluate projects within groups of similar projects. Doing so would facilitate evaluation and allow meaningful comparisons of benefits, costs and risks.</w:t>
      </w:r>
    </w:p>
    <w:p w14:paraId="74DB6481" w14:textId="77777777" w:rsidR="004574AE" w:rsidRPr="004574AE" w:rsidRDefault="004574AE" w:rsidP="004574AE">
      <w:pPr>
        <w:pStyle w:val="ListParagraph"/>
        <w:numPr>
          <w:ilvl w:val="0"/>
          <w:numId w:val="4"/>
        </w:numPr>
        <w:spacing w:before="240"/>
        <w:rPr>
          <w:rFonts w:ascii="Arial" w:hAnsi="Arial" w:cs="Arial"/>
          <w:color w:val="2F5496" w:themeColor="accent5" w:themeShade="BF"/>
        </w:rPr>
      </w:pPr>
      <w:r w:rsidRPr="004574AE">
        <w:rPr>
          <w:rFonts w:ascii="Arial" w:hAnsi="Arial" w:cs="Arial"/>
          <w:color w:val="2F5496" w:themeColor="accent5" w:themeShade="BF"/>
        </w:rPr>
        <w:t>The application portal lists a deadline of 6/1/2020, but applications for Federally Recognized Tribal Governments aren’t due until 7/30/2020. Will I run into any difficulties submitting my application after 6/1 if I am submitting on behalf of a Federally Recognized Tribal Government?</w:t>
      </w:r>
    </w:p>
    <w:p w14:paraId="1FAB95E3" w14:textId="77777777" w:rsidR="004574AE" w:rsidRPr="004574AE" w:rsidRDefault="004574AE" w:rsidP="004574AE">
      <w:pPr>
        <w:spacing w:before="240"/>
        <w:rPr>
          <w:rFonts w:ascii="Arial" w:hAnsi="Arial" w:cs="Arial"/>
          <w:color w:val="2F5496" w:themeColor="accent5" w:themeShade="BF"/>
        </w:rPr>
      </w:pPr>
      <w:r w:rsidRPr="004574AE">
        <w:rPr>
          <w:rFonts w:ascii="Arial" w:hAnsi="Arial" w:cs="Arial"/>
          <w:color w:val="2F5496" w:themeColor="accent5" w:themeShade="BF"/>
        </w:rPr>
        <w:t>No. The 6/1/2020 deadline only applies to Local Government and Retail Electric Utility applicants, and we will adjust the deadline listed in the application portal once that deadline has passed so that Federally Recognized Tribal Governments do not encounter any issues with their application submissions.</w:t>
      </w:r>
    </w:p>
    <w:p w14:paraId="14A1E408" w14:textId="77777777" w:rsidR="004574AE" w:rsidRPr="004574AE" w:rsidRDefault="004574AE" w:rsidP="004574AE">
      <w:pPr>
        <w:pStyle w:val="ListParagraph"/>
        <w:numPr>
          <w:ilvl w:val="0"/>
          <w:numId w:val="4"/>
        </w:numPr>
        <w:spacing w:before="240"/>
        <w:rPr>
          <w:rFonts w:ascii="Arial" w:hAnsi="Arial" w:cs="Arial"/>
          <w:color w:val="2F5496" w:themeColor="accent5" w:themeShade="BF"/>
        </w:rPr>
      </w:pPr>
      <w:r w:rsidRPr="004574AE">
        <w:rPr>
          <w:rFonts w:ascii="Arial" w:hAnsi="Arial" w:cs="Arial"/>
          <w:color w:val="2F5496" w:themeColor="accent5" w:themeShade="BF"/>
        </w:rPr>
        <w:t>Our team is interested in switching ownership over to our project partners/site hosts once the projects are installed if that is an option. I noticed in the Q&amp;As (question 38) that applicants have to maintain ownership over the EVSE for the first 5 years before switching ownership over to site hosts. Is this correct? Is it possible to have the site host, not the primary applicant, own and maintain the charging from day 1? It would be great to know the flexibility of ownership that might be considered.</w:t>
      </w:r>
    </w:p>
    <w:p w14:paraId="21B5D416" w14:textId="77777777" w:rsidR="004574AE" w:rsidRPr="004574AE" w:rsidRDefault="004574AE" w:rsidP="004574AE">
      <w:pPr>
        <w:spacing w:before="240"/>
        <w:rPr>
          <w:rFonts w:ascii="Arial" w:hAnsi="Arial" w:cs="Arial"/>
          <w:color w:val="2F5496" w:themeColor="accent5" w:themeShade="BF"/>
        </w:rPr>
      </w:pPr>
      <w:r w:rsidRPr="004574AE">
        <w:rPr>
          <w:rFonts w:ascii="Arial" w:hAnsi="Arial" w:cs="Arial"/>
          <w:color w:val="2F5496" w:themeColor="accent5" w:themeShade="BF"/>
        </w:rPr>
        <w:lastRenderedPageBreak/>
        <w:t xml:space="preserve">Our response to Q&amp;A Question #38 does not explicitly state that the Applicant </w:t>
      </w:r>
      <w:r w:rsidRPr="004574AE">
        <w:rPr>
          <w:rFonts w:ascii="Arial" w:hAnsi="Arial" w:cs="Arial"/>
          <w:i/>
          <w:color w:val="2F5496" w:themeColor="accent5" w:themeShade="BF"/>
        </w:rPr>
        <w:t>must</w:t>
      </w:r>
      <w:r w:rsidRPr="004574AE">
        <w:rPr>
          <w:rFonts w:ascii="Arial" w:hAnsi="Arial" w:cs="Arial"/>
          <w:color w:val="2F5496" w:themeColor="accent5" w:themeShade="BF"/>
        </w:rPr>
        <w:t xml:space="preserve"> maintain ownership of the EVSE for the initial five year operational window. It states that “Commerce’s standard procedure is that the primary applicant would have ownership of the assets. Other arrangements would have to be considered on a case by case basis.” Given the extremely wide range of possible projects, we are not able to make blanket statements or address all possible project ownership scenarios. If applicants have specific questions about specific ownership scenarios, we will do our best to address them, but all ownership arrangements will remain subject to contract negotiation.</w:t>
      </w:r>
    </w:p>
    <w:p w14:paraId="579606EA" w14:textId="77777777" w:rsidR="004574AE" w:rsidRPr="004574AE" w:rsidRDefault="004574AE" w:rsidP="004574AE">
      <w:pPr>
        <w:pStyle w:val="ListParagraph"/>
        <w:numPr>
          <w:ilvl w:val="0"/>
          <w:numId w:val="4"/>
        </w:numPr>
        <w:spacing w:before="240"/>
        <w:rPr>
          <w:rFonts w:ascii="Arial" w:hAnsi="Arial" w:cs="Arial"/>
          <w:color w:val="2F5496" w:themeColor="accent5" w:themeShade="BF"/>
        </w:rPr>
      </w:pPr>
      <w:r w:rsidRPr="004574AE">
        <w:rPr>
          <w:rFonts w:ascii="Arial" w:hAnsi="Arial" w:cs="Arial"/>
          <w:color w:val="2F5496" w:themeColor="accent5" w:themeShade="BF"/>
        </w:rPr>
        <w:t>If we submitted a letter of intent for a potential project, and then decide to change directions to focus on another effort for the grant is that allowed? Or would we have had to submit a letter of intent illustrating the project idea by the earlier deadline? Is there any wiggle room to change a project approach/topic once a letter of intent has been submitted?</w:t>
      </w:r>
    </w:p>
    <w:p w14:paraId="31941E51" w14:textId="77777777" w:rsidR="004574AE" w:rsidRPr="004574AE" w:rsidRDefault="004574AE" w:rsidP="004574AE">
      <w:pPr>
        <w:spacing w:before="240"/>
        <w:rPr>
          <w:rFonts w:ascii="Arial" w:hAnsi="Arial" w:cs="Arial"/>
          <w:color w:val="2F5496" w:themeColor="accent5" w:themeShade="BF"/>
        </w:rPr>
      </w:pPr>
      <w:r w:rsidRPr="004574AE">
        <w:rPr>
          <w:rFonts w:ascii="Arial" w:hAnsi="Arial" w:cs="Arial"/>
          <w:color w:val="2F5496" w:themeColor="accent5" w:themeShade="BF"/>
        </w:rPr>
        <w:t>Letters of Intent are non-binding. In developing their Application, Applicants are not required to keep to the same scope of work outlined in their Letter of Intent. Applicants may only submit one application corresponding to each eligible Letter of Intent.</w:t>
      </w:r>
    </w:p>
    <w:p w14:paraId="1A5BE511" w14:textId="77777777" w:rsidR="004574AE" w:rsidRPr="004574AE" w:rsidRDefault="004574AE" w:rsidP="004574AE">
      <w:pPr>
        <w:pStyle w:val="ListParagraph"/>
        <w:numPr>
          <w:ilvl w:val="0"/>
          <w:numId w:val="4"/>
        </w:numPr>
        <w:spacing w:before="240"/>
        <w:rPr>
          <w:rFonts w:ascii="Arial" w:hAnsi="Arial" w:cs="Arial"/>
          <w:color w:val="2F5496" w:themeColor="accent5" w:themeShade="BF"/>
        </w:rPr>
      </w:pPr>
      <w:r w:rsidRPr="004574AE">
        <w:rPr>
          <w:rFonts w:ascii="Arial" w:hAnsi="Arial" w:cs="Arial"/>
          <w:color w:val="2F5496" w:themeColor="accent5" w:themeShade="BF"/>
        </w:rPr>
        <w:t>We checked the box for "1:1 Match" in our LOI, but it turns out that our median household income is less than the amount required for "1:5 Match" (screenshot copied below). Can we change that request in the full application?</w:t>
      </w:r>
    </w:p>
    <w:p w14:paraId="526F7645" w14:textId="77777777" w:rsidR="004574AE" w:rsidRPr="004574AE" w:rsidRDefault="004574AE" w:rsidP="004574AE">
      <w:pPr>
        <w:spacing w:before="240"/>
        <w:rPr>
          <w:rFonts w:ascii="Arial" w:hAnsi="Arial" w:cs="Arial"/>
          <w:color w:val="2F5496" w:themeColor="accent5" w:themeShade="BF"/>
        </w:rPr>
      </w:pPr>
      <w:r w:rsidRPr="004574AE">
        <w:rPr>
          <w:rFonts w:ascii="Arial" w:hAnsi="Arial" w:cs="Arial"/>
          <w:color w:val="2F5496" w:themeColor="accent5" w:themeShade="BF"/>
        </w:rPr>
        <w:t>Letters of Intent are non-binding. In developing their Application, Applicants are not required to request the same match ratio as marked on their LOI.</w:t>
      </w:r>
    </w:p>
    <w:p w14:paraId="19191EA5" w14:textId="77777777" w:rsidR="004574AE" w:rsidRPr="004574AE" w:rsidRDefault="004574AE" w:rsidP="004574AE">
      <w:pPr>
        <w:pStyle w:val="ListParagraph"/>
        <w:numPr>
          <w:ilvl w:val="0"/>
          <w:numId w:val="4"/>
        </w:numPr>
        <w:spacing w:before="240"/>
        <w:rPr>
          <w:rFonts w:ascii="Arial" w:hAnsi="Arial" w:cs="Arial"/>
          <w:color w:val="2F5496" w:themeColor="accent5" w:themeShade="BF"/>
        </w:rPr>
      </w:pPr>
      <w:r w:rsidRPr="004574AE">
        <w:rPr>
          <w:rFonts w:ascii="Arial" w:hAnsi="Arial" w:cs="Arial"/>
          <w:color w:val="2F5496" w:themeColor="accent5" w:themeShade="BF"/>
        </w:rPr>
        <w:t>I’m not sure the link in this email is correct. Should it be: https://www.commerce.wa.gov/growing-the-economy/energy/clean-energy-fund/electrification-of-transportation/ ?</w:t>
      </w:r>
    </w:p>
    <w:p w14:paraId="73B950CB" w14:textId="77777777" w:rsidR="004574AE" w:rsidRPr="004574AE" w:rsidRDefault="004574AE" w:rsidP="004574AE">
      <w:pPr>
        <w:spacing w:before="240"/>
        <w:rPr>
          <w:rFonts w:ascii="Arial" w:hAnsi="Arial" w:cs="Arial"/>
          <w:color w:val="2F5496" w:themeColor="accent5" w:themeShade="BF"/>
        </w:rPr>
      </w:pPr>
      <w:r w:rsidRPr="004574AE">
        <w:rPr>
          <w:rFonts w:ascii="Arial" w:hAnsi="Arial" w:cs="Arial"/>
          <w:color w:val="2F5496" w:themeColor="accent5" w:themeShade="BF"/>
        </w:rPr>
        <w:t>That is the correct link to the program page for ETS program. Apologies for any confusion related to our inclusion of the incorrect email address in the 4/6 email update.</w:t>
      </w:r>
    </w:p>
    <w:p w14:paraId="275D6612" w14:textId="77777777" w:rsidR="004574AE" w:rsidRPr="004574AE" w:rsidRDefault="004574AE" w:rsidP="004574AE">
      <w:pPr>
        <w:pStyle w:val="ListParagraph"/>
        <w:numPr>
          <w:ilvl w:val="0"/>
          <w:numId w:val="4"/>
        </w:numPr>
        <w:spacing w:before="240"/>
        <w:rPr>
          <w:rFonts w:ascii="Arial" w:hAnsi="Arial" w:cs="Arial"/>
          <w:color w:val="2F5496" w:themeColor="accent5" w:themeShade="BF"/>
        </w:rPr>
      </w:pPr>
      <w:r w:rsidRPr="004574AE">
        <w:rPr>
          <w:rFonts w:ascii="Arial" w:hAnsi="Arial" w:cs="Arial"/>
          <w:color w:val="2F5496" w:themeColor="accent5" w:themeShade="BF"/>
        </w:rPr>
        <w:t>We submitted one LOI but have determined that we have multiple shovel-ready sites that span the "types" described in the grant (e.g. light-duty fleet, workplace charging, ROW charging, Multifamily, etc). The application narrative requires us to choose ONE type for the application. Can we submit another LOI to indicate that we'd like to apply for two grants? Or, do we need to limit our sites/locations to only one type? We would prefer to submit only one application, but we can't describe the best project if limited to only one type.</w:t>
      </w:r>
    </w:p>
    <w:p w14:paraId="452190CA" w14:textId="77777777" w:rsidR="004574AE" w:rsidRPr="004574AE" w:rsidRDefault="004574AE" w:rsidP="004574AE">
      <w:pPr>
        <w:spacing w:before="240"/>
        <w:rPr>
          <w:rFonts w:ascii="Arial" w:hAnsi="Arial" w:cs="Arial"/>
          <w:color w:val="2F5496" w:themeColor="accent5" w:themeShade="BF"/>
        </w:rPr>
      </w:pPr>
      <w:r w:rsidRPr="004574AE">
        <w:rPr>
          <w:rFonts w:ascii="Arial" w:hAnsi="Arial" w:cs="Arial"/>
          <w:color w:val="2F5496" w:themeColor="accent5" w:themeShade="BF"/>
        </w:rPr>
        <w:t>The LOI deadline for local governments and retail electric utilities has passed, and applicants of these types are no longer eligible to submit additional LOIs. Federally Recognized Tribal Governments are eligible to submit additional LOIs until the deadline listed in RFA SECTION 2.2 ESTIMATED SCHEDULE OF PROCUREMENT ACTIVITIES. Applicants may only submit one application for each eligible LOI submitted before their corresponding deadline.</w:t>
      </w:r>
    </w:p>
    <w:p w14:paraId="14217FD0" w14:textId="38E738DD" w:rsidR="006B6EC5" w:rsidRPr="00165E16" w:rsidRDefault="004574AE" w:rsidP="006B6EC5">
      <w:pPr>
        <w:spacing w:before="240"/>
        <w:rPr>
          <w:rFonts w:ascii="Arial" w:hAnsi="Arial" w:cs="Arial"/>
          <w:color w:val="2F5496" w:themeColor="accent5" w:themeShade="BF"/>
        </w:rPr>
      </w:pPr>
      <w:r w:rsidRPr="004574AE">
        <w:rPr>
          <w:rFonts w:ascii="Arial" w:hAnsi="Arial" w:cs="Arial"/>
          <w:color w:val="2F5496" w:themeColor="accent5" w:themeShade="BF"/>
        </w:rPr>
        <w:lastRenderedPageBreak/>
        <w:t xml:space="preserve">Question #8 of the Pre-Application asks applicants to identify the </w:t>
      </w:r>
      <w:r w:rsidRPr="004574AE">
        <w:rPr>
          <w:rFonts w:ascii="Arial" w:hAnsi="Arial" w:cs="Arial"/>
          <w:i/>
          <w:color w:val="2F5496" w:themeColor="accent5" w:themeShade="BF"/>
        </w:rPr>
        <w:t>primary</w:t>
      </w:r>
      <w:r w:rsidRPr="004574AE">
        <w:rPr>
          <w:rFonts w:ascii="Arial" w:hAnsi="Arial" w:cs="Arial"/>
          <w:color w:val="2F5496" w:themeColor="accent5" w:themeShade="BF"/>
        </w:rPr>
        <w:t xml:space="preserve"> project type. This question is for informational purposes so that Commerce can determine project groups for evaluation</w:t>
      </w:r>
      <w:r w:rsidRPr="00165E16">
        <w:rPr>
          <w:rFonts w:ascii="Arial" w:hAnsi="Arial" w:cs="Arial"/>
          <w:color w:val="2F5496" w:themeColor="accent5" w:themeShade="BF"/>
        </w:rPr>
        <w:t xml:space="preserve"> (as described in RFA SECTION 4.2 EVALUATION BREAKDOWN). Applicants are not required to limit their project to only one of these project types. In answering this question, Applicant should choose the answer which best represents their </w:t>
      </w:r>
      <w:r w:rsidRPr="00165E16">
        <w:rPr>
          <w:rFonts w:ascii="Arial" w:hAnsi="Arial" w:cs="Arial"/>
          <w:i/>
          <w:color w:val="2F5496" w:themeColor="accent5" w:themeShade="BF"/>
        </w:rPr>
        <w:t>primary</w:t>
      </w:r>
      <w:r w:rsidRPr="00165E16">
        <w:rPr>
          <w:rFonts w:ascii="Arial" w:hAnsi="Arial" w:cs="Arial"/>
          <w:color w:val="2F5496" w:themeColor="accent5" w:themeShade="BF"/>
        </w:rPr>
        <w:t xml:space="preserve"> project type.</w:t>
      </w:r>
    </w:p>
    <w:p w14:paraId="197D4410" w14:textId="5EAAA457" w:rsidR="0023448F" w:rsidRPr="00165E16" w:rsidRDefault="0023448F" w:rsidP="0023448F">
      <w:pPr>
        <w:pStyle w:val="ListParagraph"/>
        <w:numPr>
          <w:ilvl w:val="0"/>
          <w:numId w:val="4"/>
        </w:numPr>
        <w:spacing w:before="240"/>
        <w:rPr>
          <w:rFonts w:ascii="Arial" w:hAnsi="Arial" w:cs="Arial"/>
          <w:color w:val="2F5496" w:themeColor="accent5" w:themeShade="BF"/>
        </w:rPr>
      </w:pPr>
      <w:r w:rsidRPr="00165E16">
        <w:rPr>
          <w:rFonts w:ascii="Arial" w:hAnsi="Arial" w:cs="Arial"/>
          <w:color w:val="2F5496" w:themeColor="accent5" w:themeShade="BF"/>
        </w:rPr>
        <w:t>Metro is planning to use a design-build contracting method.  My question is, if Metro goes through an eligible procurement process, includes federal and state language in the solicitation and contract, and signs the design-build contract in October 2020, would the construction phase be eligible for reimbursement from Commerce grant funds?</w:t>
      </w:r>
    </w:p>
    <w:p w14:paraId="536F8528" w14:textId="1CE4EEB0" w:rsidR="0023448F" w:rsidRDefault="0023448F" w:rsidP="0023448F">
      <w:pPr>
        <w:spacing w:before="240"/>
        <w:rPr>
          <w:rFonts w:ascii="Arial" w:hAnsi="Arial" w:cs="Arial"/>
          <w:color w:val="2F5496" w:themeColor="accent5" w:themeShade="BF"/>
        </w:rPr>
      </w:pPr>
      <w:r w:rsidRPr="00165E16">
        <w:rPr>
          <w:rFonts w:ascii="Arial" w:hAnsi="Arial" w:cs="Arial"/>
          <w:color w:val="2F5496" w:themeColor="accent5" w:themeShade="BF"/>
        </w:rPr>
        <w:t>Pleas</w:t>
      </w:r>
      <w:r w:rsidR="00D372B2" w:rsidRPr="00165E16">
        <w:rPr>
          <w:rFonts w:ascii="Arial" w:hAnsi="Arial" w:cs="Arial"/>
          <w:color w:val="2F5496" w:themeColor="accent5" w:themeShade="BF"/>
        </w:rPr>
        <w:t>e see RFA Section 2.2</w:t>
      </w:r>
      <w:r w:rsidR="00D372B2" w:rsidRPr="00165E16">
        <w:rPr>
          <w:color w:val="2F5496" w:themeColor="accent5" w:themeShade="BF"/>
        </w:rPr>
        <w:t xml:space="preserve"> </w:t>
      </w:r>
      <w:r w:rsidR="00D372B2" w:rsidRPr="00165E16">
        <w:rPr>
          <w:rFonts w:ascii="Arial" w:hAnsi="Arial" w:cs="Arial"/>
          <w:color w:val="2F5496" w:themeColor="accent5" w:themeShade="BF"/>
        </w:rPr>
        <w:t xml:space="preserve">ESTIMATED SCHEDULE OF PROCUREMENT ACTIVITIES, as well as our responses to Q&amp;A Question #140 and #141. </w:t>
      </w:r>
    </w:p>
    <w:p w14:paraId="15A59687" w14:textId="0FDA2269" w:rsidR="00165E16" w:rsidRPr="00A401E6" w:rsidRDefault="00165E16" w:rsidP="00165E16">
      <w:pPr>
        <w:pStyle w:val="ListParagraph"/>
        <w:numPr>
          <w:ilvl w:val="0"/>
          <w:numId w:val="4"/>
        </w:numPr>
        <w:spacing w:before="240"/>
        <w:rPr>
          <w:rFonts w:ascii="Arial" w:hAnsi="Arial" w:cs="Arial"/>
          <w:color w:val="2F5496" w:themeColor="accent5" w:themeShade="BF"/>
        </w:rPr>
      </w:pPr>
      <w:r w:rsidRPr="00A401E6">
        <w:rPr>
          <w:rFonts w:ascii="Arial" w:hAnsi="Arial" w:cs="Arial"/>
          <w:color w:val="2F5496" w:themeColor="accent5" w:themeShade="BF"/>
        </w:rPr>
        <w:t>In terms of reduced match eligibility option 1, Samish is located in an area where the median income is likely higher than the threshold. I wonder how else you could quantify our income. It so happens that we’re in Anacortes and that area of the San Juan Islands but that does not translate to the Tribe having that sort of wealth. Are you only going to be using the census data or is there some other way of expressing that our income is significantly lower as a Tribe?</w:t>
      </w:r>
    </w:p>
    <w:p w14:paraId="3E66BFE1" w14:textId="03B0DFCE" w:rsidR="00165E16" w:rsidRPr="00A401E6" w:rsidRDefault="00165E16" w:rsidP="00165E16">
      <w:pPr>
        <w:spacing w:before="240"/>
        <w:rPr>
          <w:rFonts w:ascii="Arial" w:hAnsi="Arial" w:cs="Arial"/>
          <w:color w:val="2F5496" w:themeColor="accent5" w:themeShade="BF"/>
        </w:rPr>
      </w:pPr>
      <w:r w:rsidRPr="00A401E6">
        <w:rPr>
          <w:rFonts w:ascii="Arial" w:hAnsi="Arial" w:cs="Arial"/>
          <w:color w:val="2F5496" w:themeColor="accent5" w:themeShade="BF"/>
        </w:rPr>
        <w:t xml:space="preserve">As with any single metric that could be used to make a determination about an important issue such as reduced match, the Median Income metric used for reduced match option 1 may not capture </w:t>
      </w:r>
      <w:r w:rsidR="00570B01" w:rsidRPr="00A401E6">
        <w:rPr>
          <w:rFonts w:ascii="Arial" w:hAnsi="Arial" w:cs="Arial"/>
          <w:color w:val="2F5496" w:themeColor="accent5" w:themeShade="BF"/>
        </w:rPr>
        <w:t>every scenario where there is a need for reduced match. The Environmental Health Disparities metric employed for reduced match option 2 incorporates a variety of metrics and operates at the more granular level of census tracts rather than municipalities. Regardless, we appreciate the feedback and will attempt to take it into consideration for future solicitations.</w:t>
      </w:r>
    </w:p>
    <w:p w14:paraId="018316E3" w14:textId="34353A6D" w:rsidR="00570B01" w:rsidRPr="00A401E6" w:rsidRDefault="00570B01" w:rsidP="00570B01">
      <w:pPr>
        <w:pStyle w:val="ListParagraph"/>
        <w:numPr>
          <w:ilvl w:val="0"/>
          <w:numId w:val="4"/>
        </w:numPr>
        <w:spacing w:before="240"/>
        <w:rPr>
          <w:rFonts w:ascii="Arial" w:hAnsi="Arial" w:cs="Arial"/>
          <w:color w:val="2F5496" w:themeColor="accent5" w:themeShade="BF"/>
        </w:rPr>
      </w:pPr>
      <w:r w:rsidRPr="00A401E6">
        <w:rPr>
          <w:rFonts w:ascii="Arial" w:hAnsi="Arial" w:cs="Arial"/>
          <w:color w:val="2F5496" w:themeColor="accent5" w:themeShade="BF"/>
        </w:rPr>
        <w:t>Can I get a copy of the presentation slides?</w:t>
      </w:r>
    </w:p>
    <w:p w14:paraId="790F31D9" w14:textId="66A12AA3" w:rsidR="00570B01" w:rsidRPr="00A401E6" w:rsidRDefault="00570B01" w:rsidP="00570B01">
      <w:pPr>
        <w:spacing w:before="240"/>
        <w:rPr>
          <w:rFonts w:ascii="Arial" w:hAnsi="Arial" w:cs="Arial"/>
          <w:color w:val="2F5496" w:themeColor="accent5" w:themeShade="BF"/>
        </w:rPr>
      </w:pPr>
      <w:r w:rsidRPr="00A401E6">
        <w:rPr>
          <w:rFonts w:ascii="Arial" w:hAnsi="Arial" w:cs="Arial"/>
          <w:color w:val="2F5496" w:themeColor="accent5" w:themeShade="BF"/>
        </w:rPr>
        <w:t>A copy of the powerpoint slides will be posted to the program website along with a recording of the pre-application conference itself.</w:t>
      </w:r>
    </w:p>
    <w:p w14:paraId="44831453" w14:textId="50F923D1" w:rsidR="00570B01" w:rsidRPr="00A401E6" w:rsidRDefault="00570B01" w:rsidP="00570B01">
      <w:pPr>
        <w:pStyle w:val="ListParagraph"/>
        <w:numPr>
          <w:ilvl w:val="0"/>
          <w:numId w:val="4"/>
        </w:numPr>
        <w:spacing w:before="240"/>
        <w:rPr>
          <w:rFonts w:ascii="Arial" w:hAnsi="Arial" w:cs="Arial"/>
          <w:color w:val="2F5496" w:themeColor="accent5" w:themeShade="BF"/>
        </w:rPr>
      </w:pPr>
      <w:r w:rsidRPr="00A401E6">
        <w:rPr>
          <w:rFonts w:ascii="Arial" w:hAnsi="Arial" w:cs="Arial"/>
          <w:color w:val="2F5496" w:themeColor="accent5" w:themeShade="BF"/>
        </w:rPr>
        <w:t xml:space="preserve">Is shore power for oceangoing ships an eligible technology? </w:t>
      </w:r>
    </w:p>
    <w:p w14:paraId="00DFE88A" w14:textId="5558B1F6" w:rsidR="00570B01" w:rsidRPr="00A401E6" w:rsidRDefault="00570B01" w:rsidP="00570B01">
      <w:pPr>
        <w:spacing w:before="240"/>
        <w:rPr>
          <w:rFonts w:ascii="Arial" w:hAnsi="Arial" w:cs="Arial"/>
          <w:color w:val="2F5496" w:themeColor="accent5" w:themeShade="BF"/>
        </w:rPr>
      </w:pPr>
      <w:r w:rsidRPr="00A401E6">
        <w:rPr>
          <w:rFonts w:ascii="Arial" w:hAnsi="Arial" w:cs="Arial"/>
          <w:color w:val="2F5496" w:themeColor="accent5" w:themeShade="BF"/>
        </w:rPr>
        <w:t>See Q&amp;A Question #65 above. Shore power for oceangoing ships is eligible provided it meets all other minimum criteria. For example, ETS monies cannot go towards rolling stock, such as battery storage or other assets aboard the vessel itself.</w:t>
      </w:r>
    </w:p>
    <w:p w14:paraId="2346415C" w14:textId="5D2A39B8" w:rsidR="00570B01" w:rsidRPr="00A401E6" w:rsidRDefault="00570B01" w:rsidP="00570B01">
      <w:pPr>
        <w:pStyle w:val="ListParagraph"/>
        <w:numPr>
          <w:ilvl w:val="0"/>
          <w:numId w:val="4"/>
        </w:numPr>
        <w:spacing w:before="240"/>
        <w:rPr>
          <w:rFonts w:ascii="Arial" w:hAnsi="Arial" w:cs="Arial"/>
          <w:color w:val="2F5496" w:themeColor="accent5" w:themeShade="BF"/>
        </w:rPr>
      </w:pPr>
      <w:r w:rsidRPr="00A401E6">
        <w:rPr>
          <w:rFonts w:ascii="Arial" w:hAnsi="Arial" w:cs="Arial"/>
          <w:color w:val="2F5496" w:themeColor="accent5" w:themeShade="BF"/>
        </w:rPr>
        <w:t>I wanted to make sure that contracts signed prior to award letters going out</w:t>
      </w:r>
      <w:r w:rsidR="004332F0" w:rsidRPr="00A401E6">
        <w:rPr>
          <w:rFonts w:ascii="Arial" w:hAnsi="Arial" w:cs="Arial"/>
          <w:color w:val="2F5496" w:themeColor="accent5" w:themeShade="BF"/>
        </w:rPr>
        <w:t xml:space="preserve"> are not ineligible for funding (“contracts” meaning contracts between the grantee and subcontractors for the project). Are contracts that are signed prior to award letters going out ineligible?</w:t>
      </w:r>
    </w:p>
    <w:p w14:paraId="37F536AA" w14:textId="7991AE58" w:rsidR="004332F0" w:rsidRPr="00A401E6" w:rsidRDefault="004332F0" w:rsidP="004332F0">
      <w:pPr>
        <w:spacing w:before="240"/>
        <w:rPr>
          <w:rFonts w:ascii="Arial" w:hAnsi="Arial" w:cs="Arial"/>
          <w:color w:val="2F5496" w:themeColor="accent5" w:themeShade="BF"/>
        </w:rPr>
      </w:pPr>
      <w:r w:rsidRPr="00A401E6">
        <w:rPr>
          <w:rFonts w:ascii="Arial" w:hAnsi="Arial" w:cs="Arial"/>
          <w:color w:val="2F5496" w:themeColor="accent5" w:themeShade="BF"/>
        </w:rPr>
        <w:t xml:space="preserve">The RFA does not include any prohibitions of expenditures based on the date of execution of any subcontracts under a given grant award. It does address eligibility for reimbursement based on when project expenses are incurred, as discussed in our response to Q&amp;A Question #140, </w:t>
      </w:r>
      <w:r w:rsidRPr="00A401E6">
        <w:rPr>
          <w:rFonts w:ascii="Arial" w:hAnsi="Arial" w:cs="Arial"/>
          <w:color w:val="2F5496" w:themeColor="accent5" w:themeShade="BF"/>
        </w:rPr>
        <w:lastRenderedPageBreak/>
        <w:t xml:space="preserve">above. It is also worth noting that </w:t>
      </w:r>
      <w:r w:rsidR="00CC1240" w:rsidRPr="00A401E6">
        <w:rPr>
          <w:rFonts w:ascii="Arial" w:hAnsi="Arial" w:cs="Arial"/>
          <w:color w:val="2F5496" w:themeColor="accent5" w:themeShade="BF"/>
        </w:rPr>
        <w:t>depending on the funding source that the grant is drawn from, there are a number of terms and conditions of the contract between Commerce and the Grantee that would need to be incorporated into the subcontracts – terms like Davis Bacon compliance and other terms. Please see the example contract included in the RFA for more information.</w:t>
      </w:r>
    </w:p>
    <w:p w14:paraId="64DA4DE4" w14:textId="22A40D14" w:rsidR="00CC1240" w:rsidRPr="00A401E6" w:rsidRDefault="00CC1240" w:rsidP="00CC1240">
      <w:pPr>
        <w:pStyle w:val="ListParagraph"/>
        <w:numPr>
          <w:ilvl w:val="0"/>
          <w:numId w:val="4"/>
        </w:numPr>
        <w:spacing w:before="240"/>
        <w:rPr>
          <w:rFonts w:ascii="Arial" w:hAnsi="Arial" w:cs="Arial"/>
          <w:color w:val="2F5496" w:themeColor="accent5" w:themeShade="BF"/>
        </w:rPr>
      </w:pPr>
      <w:r w:rsidRPr="00A401E6">
        <w:rPr>
          <w:rFonts w:ascii="Arial" w:hAnsi="Arial" w:cs="Arial"/>
          <w:color w:val="2F5496" w:themeColor="accent5" w:themeShade="BF"/>
        </w:rPr>
        <w:t>There is a requirement of a 5-year period. Can you elaborate on that? It is about the life of the equipment and not any agreement terms?</w:t>
      </w:r>
    </w:p>
    <w:p w14:paraId="4743018D" w14:textId="4FE71662" w:rsidR="00CC1240" w:rsidRPr="00A401E6" w:rsidRDefault="00CC1240" w:rsidP="00CC1240">
      <w:pPr>
        <w:spacing w:before="240"/>
        <w:rPr>
          <w:rFonts w:ascii="Arial" w:hAnsi="Arial" w:cs="Arial"/>
          <w:color w:val="2F5496" w:themeColor="accent5" w:themeShade="BF"/>
        </w:rPr>
      </w:pPr>
      <w:r w:rsidRPr="00A401E6">
        <w:rPr>
          <w:rFonts w:ascii="Arial" w:hAnsi="Arial" w:cs="Arial"/>
          <w:color w:val="2F5496" w:themeColor="accent5" w:themeShade="BF"/>
        </w:rPr>
        <w:t>The requirement previously mentioned in our discussion of RFA SECTION 1.3 MINIMUM QUALIFICATIONS mentioned that project equipment have a lifespan of five years. There is also a requirement described in RFA SECTION 4.7B PROJECT REQUIREMENTS that projects have anticipated lifespan of 5+ years. This will be evaluated during the contracting phase, after award letters are sent out.</w:t>
      </w:r>
      <w:r w:rsidR="00DC7261" w:rsidRPr="00A401E6">
        <w:rPr>
          <w:rFonts w:ascii="Arial" w:hAnsi="Arial" w:cs="Arial"/>
          <w:color w:val="2F5496" w:themeColor="accent5" w:themeShade="BF"/>
        </w:rPr>
        <w:t xml:space="preserve"> Please also see Q&amp;A Question #38, above, for more information on ownership and access requirements for this 5-year window.</w:t>
      </w:r>
    </w:p>
    <w:p w14:paraId="6F52997F" w14:textId="519A8270" w:rsidR="00FA0A8C" w:rsidRDefault="00FA0A8C" w:rsidP="00FA0A8C">
      <w:pPr>
        <w:pStyle w:val="ListParagraph"/>
        <w:numPr>
          <w:ilvl w:val="0"/>
          <w:numId w:val="4"/>
        </w:numPr>
        <w:spacing w:before="240"/>
        <w:rPr>
          <w:rFonts w:ascii="Arial" w:hAnsi="Arial" w:cs="Arial"/>
        </w:rPr>
      </w:pPr>
      <w:r w:rsidRPr="00FA0A8C">
        <w:rPr>
          <w:rFonts w:ascii="Arial" w:hAnsi="Arial" w:cs="Arial"/>
        </w:rPr>
        <w:t>It looks like the Pre-Application’s Narrative Summary section is the best place to provide an introduction to and overview of the project, whereas the Application categories seem to presuppose some familiarity with the project. Is it correct to assume that the project description we provide in the Pre-Application Narrative Summary will be available and/or already familiar to reviewers who are judging the Application portion, assuming it advances past the Pre-Application stage? In other words, can we treat the Pre-Application Narrative Summary as complementary to the Application, or should the Application content be entirely agnostic to the content we provided in the Pre-Application?</w:t>
      </w:r>
    </w:p>
    <w:p w14:paraId="4B059F88" w14:textId="299868E0" w:rsidR="00FA0A8C" w:rsidRDefault="00FA0A8C" w:rsidP="00FA0A8C">
      <w:pPr>
        <w:spacing w:before="240"/>
        <w:rPr>
          <w:rFonts w:ascii="Arial" w:hAnsi="Arial" w:cs="Arial"/>
        </w:rPr>
      </w:pPr>
      <w:r>
        <w:rPr>
          <w:rFonts w:ascii="Arial" w:hAnsi="Arial" w:cs="Arial"/>
        </w:rPr>
        <w:t xml:space="preserve">Pre-Application materials will be made available to reviewers of the Full Application (for applications that are selected for Full Application review using the criteria outlined in the RFA). </w:t>
      </w:r>
      <w:r w:rsidR="008C14D2">
        <w:rPr>
          <w:rFonts w:ascii="Arial" w:hAnsi="Arial" w:cs="Arial"/>
        </w:rPr>
        <w:t>More detailed</w:t>
      </w:r>
      <w:r>
        <w:rPr>
          <w:rFonts w:ascii="Arial" w:hAnsi="Arial" w:cs="Arial"/>
        </w:rPr>
        <w:t xml:space="preserve"> information</w:t>
      </w:r>
      <w:r w:rsidR="008C14D2">
        <w:rPr>
          <w:rFonts w:ascii="Arial" w:hAnsi="Arial" w:cs="Arial"/>
        </w:rPr>
        <w:t xml:space="preserve"> about the project should</w:t>
      </w:r>
      <w:r>
        <w:rPr>
          <w:rFonts w:ascii="Arial" w:hAnsi="Arial" w:cs="Arial"/>
        </w:rPr>
        <w:t xml:space="preserve"> be included in the Technical Description</w:t>
      </w:r>
      <w:r w:rsidR="008C14D2">
        <w:rPr>
          <w:rFonts w:ascii="Arial" w:hAnsi="Arial" w:cs="Arial"/>
        </w:rPr>
        <w:t xml:space="preserve"> section</w:t>
      </w:r>
      <w:r>
        <w:rPr>
          <w:rFonts w:ascii="Arial" w:hAnsi="Arial" w:cs="Arial"/>
        </w:rPr>
        <w:t xml:space="preserve"> of the Full Application, </w:t>
      </w:r>
      <w:r w:rsidR="008C14D2">
        <w:rPr>
          <w:rFonts w:ascii="Arial" w:hAnsi="Arial" w:cs="Arial"/>
        </w:rPr>
        <w:t>and it is generally to Applicants’ advantage to ensure that each narrative section is readily understandable without extensive cross-referencing to other sections</w:t>
      </w:r>
      <w:r>
        <w:rPr>
          <w:rFonts w:ascii="Arial" w:hAnsi="Arial" w:cs="Arial"/>
        </w:rPr>
        <w:t xml:space="preserve">. </w:t>
      </w:r>
      <w:r w:rsidR="00BF4EC2">
        <w:rPr>
          <w:rFonts w:ascii="Arial" w:hAnsi="Arial" w:cs="Arial"/>
        </w:rPr>
        <w:t xml:space="preserve">It may also be beneficial for Applicants to familiarize themselves </w:t>
      </w:r>
      <w:r w:rsidR="008C14D2">
        <w:rPr>
          <w:rFonts w:ascii="Arial" w:hAnsi="Arial" w:cs="Arial"/>
        </w:rPr>
        <w:t>with the scoring criteria outlined in RFA SECTIONS 4.1-4.2, as these sections address the primary Pre-Application and Full Application questions that reviewers will use to determine scoring for each criterion.</w:t>
      </w:r>
    </w:p>
    <w:p w14:paraId="217E2E9B" w14:textId="0EC0E486" w:rsidR="008C14D2" w:rsidRDefault="008C14D2" w:rsidP="00FA0A8C">
      <w:pPr>
        <w:spacing w:before="240"/>
        <w:rPr>
          <w:rFonts w:ascii="Arial" w:hAnsi="Arial" w:cs="Arial"/>
        </w:rPr>
      </w:pPr>
      <w:r>
        <w:rPr>
          <w:rFonts w:ascii="Arial" w:hAnsi="Arial" w:cs="Arial"/>
        </w:rPr>
        <w:t xml:space="preserve">Additionally, Applicants should note that reviewers will </w:t>
      </w:r>
      <w:r>
        <w:rPr>
          <w:rFonts w:ascii="Arial" w:hAnsi="Arial" w:cs="Arial"/>
          <w:b/>
        </w:rPr>
        <w:t>not</w:t>
      </w:r>
      <w:r>
        <w:rPr>
          <w:rFonts w:ascii="Arial" w:hAnsi="Arial" w:cs="Arial"/>
        </w:rPr>
        <w:t xml:space="preserve"> have access to Full Applications during their review of the Pre-Application, so any information included in the Full Application materials will not be considered during the scoring of the Pre-Application.</w:t>
      </w:r>
    </w:p>
    <w:p w14:paraId="1EB10BF7" w14:textId="700BDE2C" w:rsidR="00505389" w:rsidRDefault="00505389" w:rsidP="00505389">
      <w:pPr>
        <w:pStyle w:val="ListParagraph"/>
        <w:numPr>
          <w:ilvl w:val="0"/>
          <w:numId w:val="4"/>
        </w:numPr>
        <w:spacing w:before="240"/>
        <w:rPr>
          <w:rFonts w:ascii="Arial" w:hAnsi="Arial" w:cs="Arial"/>
        </w:rPr>
      </w:pPr>
      <w:r w:rsidRPr="00505389">
        <w:rPr>
          <w:rFonts w:ascii="Arial" w:hAnsi="Arial" w:cs="Arial"/>
        </w:rPr>
        <w:t>I am wondering if I maybe put the project manager’s email on the Letter of Intent rather than my own and they may have received emails about this that I have missed.  Please add me to any communications regarding this grant.</w:t>
      </w:r>
    </w:p>
    <w:p w14:paraId="1257435C" w14:textId="60E8CEE5" w:rsidR="00505389" w:rsidRPr="00505389" w:rsidRDefault="00505389" w:rsidP="00505389">
      <w:pPr>
        <w:spacing w:before="240"/>
        <w:rPr>
          <w:rFonts w:ascii="Arial" w:hAnsi="Arial" w:cs="Arial"/>
        </w:rPr>
      </w:pPr>
      <w:r>
        <w:rPr>
          <w:rFonts w:ascii="Arial" w:hAnsi="Arial" w:cs="Arial"/>
        </w:rPr>
        <w:t xml:space="preserve">Provided the requester’s email was used to create the account in the ZoomGrants portal or the request comes from one of the contacts listed on the letter of intent or application materials, we </w:t>
      </w:r>
      <w:r>
        <w:rPr>
          <w:rFonts w:ascii="Arial" w:hAnsi="Arial" w:cs="Arial"/>
        </w:rPr>
        <w:lastRenderedPageBreak/>
        <w:t>are happy to add additional contacts to updates regarding a particular application.</w:t>
      </w:r>
      <w:r w:rsidR="00A75229">
        <w:rPr>
          <w:rFonts w:ascii="Arial" w:hAnsi="Arial" w:cs="Arial"/>
        </w:rPr>
        <w:t xml:space="preserve"> All requests must be made in writing to the email address listed in RFA SECTION 2.1 RFA COORDINATOR.</w:t>
      </w:r>
    </w:p>
    <w:p w14:paraId="51BD3564" w14:textId="4ADF5CBD" w:rsidR="00D749BA" w:rsidRDefault="00D749BA" w:rsidP="00D749BA">
      <w:pPr>
        <w:pStyle w:val="ListParagraph"/>
        <w:numPr>
          <w:ilvl w:val="0"/>
          <w:numId w:val="4"/>
        </w:numPr>
        <w:spacing w:before="240"/>
        <w:rPr>
          <w:rFonts w:ascii="Arial" w:hAnsi="Arial" w:cs="Arial"/>
        </w:rPr>
      </w:pPr>
      <w:r>
        <w:rPr>
          <w:rFonts w:ascii="Arial" w:hAnsi="Arial" w:cs="Arial"/>
        </w:rPr>
        <w:t>U</w:t>
      </w:r>
      <w:r w:rsidRPr="00D749BA">
        <w:rPr>
          <w:rFonts w:ascii="Arial" w:hAnsi="Arial" w:cs="Arial"/>
        </w:rPr>
        <w:t>nder the amount requested for the EV gr</w:t>
      </w:r>
      <w:bookmarkStart w:id="1" w:name="_GoBack"/>
      <w:bookmarkEnd w:id="1"/>
      <w:r w:rsidRPr="00D749BA">
        <w:rPr>
          <w:rFonts w:ascii="Arial" w:hAnsi="Arial" w:cs="Arial"/>
        </w:rPr>
        <w:t>ant, do we put the total amount of the project, or just the amount of the funding requested from Commerce for their portion of the match?  i.e the total cost for us is $13105, but the eligible amount to receive from commerce for us would be 10,484.</w:t>
      </w:r>
    </w:p>
    <w:p w14:paraId="75F5AEC0" w14:textId="3DCBB258" w:rsidR="00D749BA" w:rsidRDefault="00D749BA" w:rsidP="00D749BA">
      <w:pPr>
        <w:spacing w:before="240"/>
        <w:rPr>
          <w:rFonts w:ascii="Arial" w:hAnsi="Arial" w:cs="Arial"/>
        </w:rPr>
      </w:pPr>
      <w:r>
        <w:rPr>
          <w:rFonts w:ascii="Arial" w:hAnsi="Arial" w:cs="Arial"/>
        </w:rPr>
        <w:t>Under the “Amount Requested” field under the Summary tab in the ZoomGrants Application portal, the Applicant should fill in the amount of grant funding they are requesting from Commerce. Question #14 of the Pre-Application allows the Applicant to fill in more information about match funding and total project costs.</w:t>
      </w:r>
    </w:p>
    <w:p w14:paraId="1A553226" w14:textId="268BED7D" w:rsidR="00122CFB" w:rsidRDefault="00122CFB" w:rsidP="00122CFB">
      <w:pPr>
        <w:pStyle w:val="ListParagraph"/>
        <w:numPr>
          <w:ilvl w:val="0"/>
          <w:numId w:val="4"/>
        </w:numPr>
        <w:spacing w:before="240"/>
        <w:rPr>
          <w:rFonts w:ascii="Arial" w:hAnsi="Arial" w:cs="Arial"/>
        </w:rPr>
      </w:pPr>
      <w:r w:rsidRPr="00122CFB">
        <w:rPr>
          <w:rFonts w:ascii="Arial" w:hAnsi="Arial" w:cs="Arial"/>
        </w:rPr>
        <w:t>Is there a new deadline to submitting the application as well?</w:t>
      </w:r>
    </w:p>
    <w:p w14:paraId="61229E23" w14:textId="54C1F37B" w:rsidR="00122CFB" w:rsidRDefault="00122CFB" w:rsidP="00122CFB">
      <w:pPr>
        <w:spacing w:before="240"/>
        <w:rPr>
          <w:rFonts w:ascii="Arial" w:hAnsi="Arial" w:cs="Arial"/>
          <w:i/>
        </w:rPr>
      </w:pPr>
      <w:r w:rsidRPr="00122CFB">
        <w:rPr>
          <w:rFonts w:ascii="Arial" w:hAnsi="Arial" w:cs="Arial"/>
        </w:rPr>
        <w:t xml:space="preserve">The latest program timeline is in the updated RFA posted on the program website. </w:t>
      </w:r>
      <w:r>
        <w:rPr>
          <w:rFonts w:ascii="Arial" w:hAnsi="Arial" w:cs="Arial"/>
        </w:rPr>
        <w:t>As stated on Page 1 of the RFA,</w:t>
      </w:r>
      <w:r w:rsidRPr="00122CFB">
        <w:rPr>
          <w:rFonts w:ascii="Arial" w:hAnsi="Arial" w:cs="Arial"/>
          <w:i/>
        </w:rPr>
        <w:t xml:space="preserve"> If you download this RFA from the Department of Commerce website, you are responsible for regularly checking the Program Website listed in RFA SECTION 2.1 RFA COORDINATOR in order for your organization to receive any RFA amendments or Applicant questions/agency answers.</w:t>
      </w:r>
    </w:p>
    <w:p w14:paraId="597D34E4" w14:textId="3BD3D19B" w:rsidR="00837EC8" w:rsidRDefault="00837EC8" w:rsidP="00837EC8">
      <w:pPr>
        <w:pStyle w:val="ListParagraph"/>
        <w:numPr>
          <w:ilvl w:val="0"/>
          <w:numId w:val="4"/>
        </w:numPr>
        <w:spacing w:before="240"/>
        <w:rPr>
          <w:rFonts w:ascii="Arial" w:hAnsi="Arial" w:cs="Arial"/>
        </w:rPr>
      </w:pPr>
      <w:r w:rsidRPr="00837EC8">
        <w:rPr>
          <w:rFonts w:ascii="Arial" w:hAnsi="Arial" w:cs="Arial"/>
        </w:rPr>
        <w:t xml:space="preserve">Being that we are applying for the $2.5 million grant amount with 1:1 match, we have several project sites that are part of our $5 million total project. In reading the “ETS Project Site Information Template” instructions (below) and reviewing RFA Section 4.1 and 4.2, would you please clarify whether “all project sites” consists of the project sites to be funded with requested ETS grant monies and the project sites that fulfill the match requirement or just the former? </w:t>
      </w:r>
    </w:p>
    <w:p w14:paraId="481CFE4D" w14:textId="372A561A" w:rsidR="00837EC8" w:rsidRPr="00837EC8" w:rsidRDefault="006F2F54" w:rsidP="00837EC8">
      <w:pPr>
        <w:spacing w:before="240"/>
        <w:rPr>
          <w:rFonts w:ascii="Arial" w:hAnsi="Arial" w:cs="Arial"/>
        </w:rPr>
      </w:pPr>
      <w:r>
        <w:rPr>
          <w:rFonts w:ascii="Arial" w:hAnsi="Arial" w:cs="Arial"/>
        </w:rPr>
        <w:t>According to RFA SECTION 3.1 E.iii, “</w:t>
      </w:r>
      <w:r w:rsidRPr="006F2F54">
        <w:rPr>
          <w:rFonts w:ascii="Arial" w:hAnsi="Arial" w:cs="Arial"/>
        </w:rPr>
        <w:t>each individual street address corresponding to one or more EVSE installations represents a project site</w:t>
      </w:r>
      <w:r>
        <w:rPr>
          <w:rFonts w:ascii="Arial" w:hAnsi="Arial" w:cs="Arial"/>
        </w:rPr>
        <w:t>”. “All project sites” includes such sites regardless of whether they are funded by Commerce or Match funding, provided they are included under the Applicant’s proposal.</w:t>
      </w:r>
    </w:p>
    <w:p w14:paraId="2FA6991D" w14:textId="236B25F9" w:rsidR="00837EC8" w:rsidRDefault="00837EC8" w:rsidP="00837EC8">
      <w:pPr>
        <w:pStyle w:val="ListParagraph"/>
        <w:numPr>
          <w:ilvl w:val="0"/>
          <w:numId w:val="4"/>
        </w:numPr>
        <w:spacing w:before="240"/>
        <w:rPr>
          <w:rFonts w:ascii="Arial" w:hAnsi="Arial" w:cs="Arial"/>
        </w:rPr>
      </w:pPr>
      <w:r w:rsidRPr="00837EC8">
        <w:rPr>
          <w:rFonts w:ascii="Arial" w:hAnsi="Arial" w:cs="Arial"/>
        </w:rPr>
        <w:t>Understanding that there are character limits for most of the pre-application and application questions are we able to insert charts, maps, pictures, and/or spreadsheets, and if so, will they count against the character limit?</w:t>
      </w:r>
    </w:p>
    <w:p w14:paraId="15370D8E" w14:textId="6BD07A00" w:rsidR="001E7105" w:rsidRDefault="006F2F54" w:rsidP="006F2F54">
      <w:pPr>
        <w:spacing w:before="240"/>
        <w:rPr>
          <w:rFonts w:ascii="Arial" w:hAnsi="Arial" w:cs="Arial"/>
        </w:rPr>
      </w:pPr>
      <w:r>
        <w:rPr>
          <w:rFonts w:ascii="Arial" w:hAnsi="Arial" w:cs="Arial"/>
        </w:rPr>
        <w:t xml:space="preserve">Applicants may include charts, maps, pictures, and/or spreadsheets if they deem appropriate, however they will count against character and/or page limits if submitted in response to specific application questions. Applicants should note the ZoomGrants only accepts unformatted text in responses submitted via </w:t>
      </w:r>
      <w:r w:rsidR="00B711B4">
        <w:rPr>
          <w:rFonts w:ascii="Arial" w:hAnsi="Arial" w:cs="Arial"/>
        </w:rPr>
        <w:t>the application’s text boxes. For help with formatting in such cases, please contact ZoomGrants support.</w:t>
      </w:r>
      <w:r w:rsidR="006A459F">
        <w:rPr>
          <w:rFonts w:ascii="Arial" w:hAnsi="Arial" w:cs="Arial"/>
        </w:rPr>
        <w:t xml:space="preserve"> Any additions of </w:t>
      </w:r>
      <w:r w:rsidR="00332349">
        <w:rPr>
          <w:rFonts w:ascii="Arial" w:hAnsi="Arial" w:cs="Arial"/>
        </w:rPr>
        <w:t>the types of content listed in the question</w:t>
      </w:r>
      <w:r w:rsidR="006A459F">
        <w:rPr>
          <w:rFonts w:ascii="Arial" w:hAnsi="Arial" w:cs="Arial"/>
        </w:rPr>
        <w:t xml:space="preserve"> </w:t>
      </w:r>
      <w:r w:rsidR="001E7105">
        <w:rPr>
          <w:rFonts w:ascii="Arial" w:hAnsi="Arial" w:cs="Arial"/>
        </w:rPr>
        <w:t xml:space="preserve">to </w:t>
      </w:r>
      <w:r w:rsidR="00332349">
        <w:rPr>
          <w:rFonts w:ascii="Arial" w:hAnsi="Arial" w:cs="Arial"/>
        </w:rPr>
        <w:t xml:space="preserve">application </w:t>
      </w:r>
      <w:r w:rsidR="001E7105">
        <w:rPr>
          <w:rFonts w:ascii="Arial" w:hAnsi="Arial" w:cs="Arial"/>
        </w:rPr>
        <w:t xml:space="preserve">attachments </w:t>
      </w:r>
      <w:r w:rsidR="00B711B4">
        <w:rPr>
          <w:rFonts w:ascii="Arial" w:hAnsi="Arial" w:cs="Arial"/>
        </w:rPr>
        <w:t>must follow prescribed formatting for attachments</w:t>
      </w:r>
      <w:r w:rsidR="006A459F">
        <w:rPr>
          <w:rFonts w:ascii="Arial" w:hAnsi="Arial" w:cs="Arial"/>
        </w:rPr>
        <w:t xml:space="preserve"> outlined in RFA SECTION 2.5 SUBMISSION OF APPLICATIONS</w:t>
      </w:r>
      <w:r w:rsidR="001E7105">
        <w:rPr>
          <w:rFonts w:ascii="Arial" w:hAnsi="Arial" w:cs="Arial"/>
        </w:rPr>
        <w:t xml:space="preserve">. </w:t>
      </w:r>
    </w:p>
    <w:p w14:paraId="254AA489" w14:textId="5D151839" w:rsidR="00B711B4" w:rsidRDefault="001E7105" w:rsidP="006F2F54">
      <w:pPr>
        <w:spacing w:before="240"/>
        <w:rPr>
          <w:rFonts w:ascii="Arial" w:hAnsi="Arial" w:cs="Arial"/>
        </w:rPr>
      </w:pPr>
      <w:r w:rsidRPr="001E7105">
        <w:rPr>
          <w:rFonts w:ascii="Arial" w:hAnsi="Arial" w:cs="Arial"/>
        </w:rPr>
        <w:lastRenderedPageBreak/>
        <w:t>The Applicant may upload additional attachments they feel are relevant to understanding the proposed project</w:t>
      </w:r>
      <w:r w:rsidR="00332349">
        <w:rPr>
          <w:rFonts w:ascii="Arial" w:hAnsi="Arial" w:cs="Arial"/>
        </w:rPr>
        <w:t xml:space="preserve"> under the Attachments tab in the ZoomGrants application portal</w:t>
      </w:r>
      <w:r w:rsidRPr="001E7105">
        <w:rPr>
          <w:rFonts w:ascii="Arial" w:hAnsi="Arial" w:cs="Arial"/>
        </w:rPr>
        <w:t xml:space="preserve">. COMMERCE may or may not review any such additional attachments, at </w:t>
      </w:r>
      <w:r>
        <w:rPr>
          <w:rFonts w:ascii="Arial" w:hAnsi="Arial" w:cs="Arial"/>
        </w:rPr>
        <w:t>COMMERCE's sole discretion. These optional attachments</w:t>
      </w:r>
      <w:r w:rsidRPr="001E7105">
        <w:rPr>
          <w:rFonts w:ascii="Arial" w:hAnsi="Arial" w:cs="Arial"/>
        </w:rPr>
        <w:t xml:space="preserve"> should not be vital to understanding the Applicant's application.</w:t>
      </w:r>
    </w:p>
    <w:p w14:paraId="00680146" w14:textId="6AC4954B" w:rsidR="00D466E0" w:rsidRDefault="00D466E0" w:rsidP="00D466E0">
      <w:pPr>
        <w:pStyle w:val="ListParagraph"/>
        <w:numPr>
          <w:ilvl w:val="0"/>
          <w:numId w:val="4"/>
        </w:numPr>
        <w:spacing w:before="240"/>
        <w:rPr>
          <w:rFonts w:ascii="Arial" w:hAnsi="Arial" w:cs="Arial"/>
        </w:rPr>
      </w:pPr>
      <w:r w:rsidRPr="00D466E0">
        <w:rPr>
          <w:rFonts w:ascii="Arial" w:hAnsi="Arial" w:cs="Arial"/>
        </w:rPr>
        <w:t xml:space="preserve">As a Canadian company, do you know if we are eligible to partner with Washington local governments, Tribal Governments, and retail electric utilities on applications?  </w:t>
      </w:r>
    </w:p>
    <w:p w14:paraId="12A04547" w14:textId="62C81B24" w:rsidR="00422E7B" w:rsidRPr="00422E7B" w:rsidRDefault="00422E7B" w:rsidP="00422E7B">
      <w:pPr>
        <w:spacing w:before="240"/>
        <w:rPr>
          <w:rFonts w:ascii="Arial" w:hAnsi="Arial" w:cs="Arial"/>
        </w:rPr>
      </w:pPr>
      <w:r>
        <w:rPr>
          <w:rFonts w:ascii="Arial" w:hAnsi="Arial" w:cs="Arial"/>
        </w:rPr>
        <w:t>Please see our response to Q&amp;A Question #2, above. Primary eligible applicants may partner with other organizations</w:t>
      </w:r>
      <w:r w:rsidR="002D688D">
        <w:rPr>
          <w:rFonts w:ascii="Arial" w:hAnsi="Arial" w:cs="Arial"/>
        </w:rPr>
        <w:t xml:space="preserve"> on their applications</w:t>
      </w:r>
      <w:r>
        <w:rPr>
          <w:rFonts w:ascii="Arial" w:hAnsi="Arial" w:cs="Arial"/>
        </w:rPr>
        <w:t xml:space="preserve">, but successful applicants must still follow all applicable procurement requirements for publicly-funded projects. Grantees that receive </w:t>
      </w:r>
      <w:r w:rsidR="00332349">
        <w:rPr>
          <w:rFonts w:ascii="Arial" w:hAnsi="Arial" w:cs="Arial"/>
        </w:rPr>
        <w:t xml:space="preserve">federal </w:t>
      </w:r>
      <w:r>
        <w:rPr>
          <w:rFonts w:ascii="Arial" w:hAnsi="Arial" w:cs="Arial"/>
        </w:rPr>
        <w:t xml:space="preserve">funding will also have to comply with federal funding requirements, including compliance with </w:t>
      </w:r>
      <w:r w:rsidRPr="00422E7B">
        <w:rPr>
          <w:rFonts w:ascii="Arial" w:hAnsi="Arial" w:cs="Arial"/>
        </w:rPr>
        <w:t>Presidential Executive Order on Buy American and Hire American</w:t>
      </w:r>
      <w:r>
        <w:rPr>
          <w:rFonts w:ascii="Arial" w:hAnsi="Arial" w:cs="Arial"/>
        </w:rPr>
        <w:t>.</w:t>
      </w:r>
    </w:p>
    <w:p w14:paraId="0B726F04" w14:textId="2B616F78" w:rsidR="00D466E0" w:rsidRDefault="00D466E0" w:rsidP="00D466E0">
      <w:pPr>
        <w:pStyle w:val="ListParagraph"/>
        <w:numPr>
          <w:ilvl w:val="0"/>
          <w:numId w:val="4"/>
        </w:numPr>
        <w:spacing w:before="240"/>
        <w:rPr>
          <w:rFonts w:ascii="Arial" w:hAnsi="Arial" w:cs="Arial"/>
        </w:rPr>
      </w:pPr>
      <w:r w:rsidRPr="00D466E0">
        <w:rPr>
          <w:rFonts w:ascii="Arial" w:hAnsi="Arial" w:cs="Arial"/>
        </w:rPr>
        <w:t>If PE is eligible, do you know the date for the next round of applications for local government or utilities?</w:t>
      </w:r>
    </w:p>
    <w:p w14:paraId="53FE1E51" w14:textId="13AA5450" w:rsidR="00422E7B" w:rsidRPr="00422E7B" w:rsidRDefault="002D688D" w:rsidP="00422E7B">
      <w:pPr>
        <w:spacing w:before="240"/>
        <w:rPr>
          <w:rFonts w:ascii="Arial" w:hAnsi="Arial" w:cs="Arial"/>
        </w:rPr>
      </w:pPr>
      <w:r>
        <w:rPr>
          <w:rFonts w:ascii="Arial" w:hAnsi="Arial" w:cs="Arial"/>
        </w:rPr>
        <w:t>There is currently an open solicitation for which Local Governments and Retail Electric Utilities are among the primary eligible applicants (along with Federally Recognized Tribal Governments)</w:t>
      </w:r>
      <w:r w:rsidR="00332349">
        <w:rPr>
          <w:rFonts w:ascii="Arial" w:hAnsi="Arial" w:cs="Arial"/>
        </w:rPr>
        <w:t>, though the Letter of Intent deadline has passed for Local Governments and Retail Electric Utilities</w:t>
      </w:r>
      <w:r>
        <w:rPr>
          <w:rFonts w:ascii="Arial" w:hAnsi="Arial" w:cs="Arial"/>
        </w:rPr>
        <w:t xml:space="preserve">. </w:t>
      </w:r>
      <w:r w:rsidR="00332349">
        <w:rPr>
          <w:rFonts w:ascii="Arial" w:hAnsi="Arial" w:cs="Arial"/>
        </w:rPr>
        <w:t>See Q&amp;A Question #120, above, with respect to future grant solicitations.</w:t>
      </w:r>
    </w:p>
    <w:sectPr w:rsidR="00422E7B" w:rsidRPr="00422E7B">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0FD05" w14:textId="77777777" w:rsidR="00A75229" w:rsidRDefault="00A75229" w:rsidP="00DC559E">
      <w:pPr>
        <w:spacing w:after="0" w:line="240" w:lineRule="auto"/>
      </w:pPr>
      <w:r>
        <w:separator/>
      </w:r>
    </w:p>
  </w:endnote>
  <w:endnote w:type="continuationSeparator" w:id="0">
    <w:p w14:paraId="655CE6B4" w14:textId="77777777" w:rsidR="00A75229" w:rsidRDefault="00A75229" w:rsidP="00DC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803961"/>
      <w:docPartObj>
        <w:docPartGallery w:val="Page Numbers (Bottom of Page)"/>
        <w:docPartUnique/>
      </w:docPartObj>
    </w:sdtPr>
    <w:sdtEndPr>
      <w:rPr>
        <w:noProof/>
      </w:rPr>
    </w:sdtEndPr>
    <w:sdtContent>
      <w:p w14:paraId="5C4A3EE4" w14:textId="6C2AA740" w:rsidR="00A75229" w:rsidRDefault="00A75229">
        <w:pPr>
          <w:pStyle w:val="Footer"/>
          <w:jc w:val="right"/>
        </w:pPr>
        <w:r>
          <w:fldChar w:fldCharType="begin"/>
        </w:r>
        <w:r>
          <w:instrText xml:space="preserve"> PAGE   \* MERGEFORMAT </w:instrText>
        </w:r>
        <w:r>
          <w:fldChar w:fldCharType="separate"/>
        </w:r>
        <w:r w:rsidR="00B37C07">
          <w:rPr>
            <w:noProof/>
          </w:rPr>
          <w:t>33</w:t>
        </w:r>
        <w:r>
          <w:rPr>
            <w:noProof/>
          </w:rPr>
          <w:fldChar w:fldCharType="end"/>
        </w:r>
      </w:p>
    </w:sdtContent>
  </w:sdt>
  <w:p w14:paraId="72754F14" w14:textId="77777777" w:rsidR="00A75229" w:rsidRDefault="00A75229" w:rsidP="00EC617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5A427" w14:textId="77777777" w:rsidR="00A75229" w:rsidRDefault="00A75229" w:rsidP="00DC559E">
      <w:pPr>
        <w:spacing w:after="0" w:line="240" w:lineRule="auto"/>
      </w:pPr>
      <w:r>
        <w:separator/>
      </w:r>
    </w:p>
  </w:footnote>
  <w:footnote w:type="continuationSeparator" w:id="0">
    <w:p w14:paraId="112CBECE" w14:textId="77777777" w:rsidR="00A75229" w:rsidRDefault="00A75229" w:rsidP="00DC559E">
      <w:pPr>
        <w:spacing w:after="0" w:line="240" w:lineRule="auto"/>
      </w:pPr>
      <w:r>
        <w:continuationSeparator/>
      </w:r>
    </w:p>
  </w:footnote>
  <w:footnote w:id="1">
    <w:p w14:paraId="243478A8" w14:textId="77777777" w:rsidR="00A75229" w:rsidRPr="001902C9" w:rsidRDefault="00A75229" w:rsidP="00780C51">
      <w:pPr>
        <w:pStyle w:val="FootnoteText"/>
        <w:rPr>
          <w:color w:val="2F5496" w:themeColor="accent5" w:themeShade="BF"/>
        </w:rPr>
      </w:pPr>
      <w:r w:rsidRPr="001902C9">
        <w:rPr>
          <w:rStyle w:val="FootnoteReference"/>
          <w:color w:val="2F5496" w:themeColor="accent5" w:themeShade="BF"/>
        </w:rPr>
        <w:footnoteRef/>
      </w:r>
      <w:r w:rsidRPr="001902C9">
        <w:rPr>
          <w:color w:val="2F5496" w:themeColor="accent5" w:themeShade="BF"/>
        </w:rPr>
        <w:t xml:space="preserve">   </w:t>
      </w:r>
      <w:r w:rsidRPr="001902C9">
        <w:rPr>
          <w:b w:val="0"/>
          <w:color w:val="2F5496" w:themeColor="accent5" w:themeShade="BF"/>
        </w:rPr>
        <w:t>Twenty business days for LOI development and 43 business days for Application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9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5"/>
      <w:gridCol w:w="6053"/>
    </w:tblGrid>
    <w:tr w:rsidR="00A75229" w:rsidRPr="00926172" w14:paraId="272FEDD8" w14:textId="77777777" w:rsidTr="00FB597F">
      <w:trPr>
        <w:trHeight w:val="900"/>
        <w:tblHeader/>
      </w:trPr>
      <w:tc>
        <w:tcPr>
          <w:tcW w:w="4945" w:type="dxa"/>
        </w:tcPr>
        <w:p w14:paraId="2E19190C" w14:textId="77777777" w:rsidR="00A75229" w:rsidRPr="00926172" w:rsidRDefault="00A75229" w:rsidP="00EC617B">
          <w:pPr>
            <w:spacing w:after="0"/>
            <w:rPr>
              <w:rFonts w:ascii="Calibri" w:hAnsi="Calibri" w:cs="Calibri"/>
              <w:b/>
            </w:rPr>
          </w:pPr>
          <w:r w:rsidRPr="00805691">
            <w:rPr>
              <w:noProof/>
            </w:rPr>
            <w:drawing>
              <wp:anchor distT="0" distB="0" distL="114300" distR="114300" simplePos="0" relativeHeight="251659264" behindDoc="0" locked="0" layoutInCell="1" allowOverlap="1" wp14:anchorId="25F808D8" wp14:editId="33A1823D">
                <wp:simplePos x="0" y="0"/>
                <wp:positionH relativeFrom="column">
                  <wp:posOffset>609193</wp:posOffset>
                </wp:positionH>
                <wp:positionV relativeFrom="paragraph">
                  <wp:posOffset>-83185</wp:posOffset>
                </wp:positionV>
                <wp:extent cx="1626625" cy="7231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625" cy="723172"/>
                        </a:xfrm>
                        <a:prstGeom prst="rect">
                          <a:avLst/>
                        </a:prstGeom>
                      </pic:spPr>
                    </pic:pic>
                  </a:graphicData>
                </a:graphic>
                <wp14:sizeRelH relativeFrom="page">
                  <wp14:pctWidth>0</wp14:pctWidth>
                </wp14:sizeRelH>
                <wp14:sizeRelV relativeFrom="page">
                  <wp14:pctHeight>0</wp14:pctHeight>
                </wp14:sizeRelV>
              </wp:anchor>
            </w:drawing>
          </w:r>
        </w:p>
      </w:tc>
      <w:tc>
        <w:tcPr>
          <w:tcW w:w="6053" w:type="dxa"/>
        </w:tcPr>
        <w:p w14:paraId="13E2A087" w14:textId="77777777" w:rsidR="00A75229" w:rsidRPr="00F6028B" w:rsidRDefault="00A75229" w:rsidP="00EC617B">
          <w:pPr>
            <w:spacing w:after="0"/>
            <w:jc w:val="right"/>
            <w:rPr>
              <w:rFonts w:ascii="Calibri" w:hAnsi="Calibri" w:cs="Calibri"/>
              <w:b/>
            </w:rPr>
          </w:pPr>
          <w:r>
            <w:rPr>
              <w:rFonts w:ascii="Calibri" w:hAnsi="Calibri" w:cs="Calibri"/>
              <w:b/>
            </w:rPr>
            <w:t>Clean Energy Fund 3</w:t>
          </w:r>
        </w:p>
        <w:p w14:paraId="7835133C" w14:textId="76F6C252" w:rsidR="00A75229" w:rsidRPr="00F6028B" w:rsidRDefault="00A75229" w:rsidP="00EC617B">
          <w:pPr>
            <w:spacing w:after="0"/>
            <w:rPr>
              <w:rFonts w:ascii="Calibri" w:hAnsi="Calibri" w:cs="Calibri"/>
              <w:sz w:val="31"/>
              <w:szCs w:val="31"/>
            </w:rPr>
          </w:pPr>
          <w:r w:rsidRPr="00EC617B">
            <w:rPr>
              <w:rFonts w:ascii="Calibri" w:hAnsi="Calibri" w:cs="Calibri"/>
              <w:b/>
              <w:sz w:val="28"/>
              <w:szCs w:val="31"/>
            </w:rPr>
            <w:t>Electrification of Transportation Systems Program</w:t>
          </w:r>
        </w:p>
      </w:tc>
    </w:tr>
  </w:tbl>
  <w:p w14:paraId="21C93DB4" w14:textId="1500D972" w:rsidR="00A75229" w:rsidRPr="00EC617B" w:rsidRDefault="00A75229" w:rsidP="00EC6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429"/>
    <w:multiLevelType w:val="hybridMultilevel"/>
    <w:tmpl w:val="70443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8456D"/>
    <w:multiLevelType w:val="hybridMultilevel"/>
    <w:tmpl w:val="569AA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24893"/>
    <w:multiLevelType w:val="hybridMultilevel"/>
    <w:tmpl w:val="C24EABA0"/>
    <w:lvl w:ilvl="0" w:tplc="42CA9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9757A"/>
    <w:multiLevelType w:val="hybridMultilevel"/>
    <w:tmpl w:val="514AE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40951"/>
    <w:multiLevelType w:val="hybridMultilevel"/>
    <w:tmpl w:val="A460A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E51ABE"/>
    <w:multiLevelType w:val="hybridMultilevel"/>
    <w:tmpl w:val="8584B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36B1F"/>
    <w:multiLevelType w:val="hybridMultilevel"/>
    <w:tmpl w:val="9C54B218"/>
    <w:lvl w:ilvl="0" w:tplc="0409000F">
      <w:start w:val="1"/>
      <w:numFmt w:val="decimal"/>
      <w:lvlText w:val="%1."/>
      <w:lvlJc w:val="left"/>
      <w:pPr>
        <w:ind w:left="720" w:hanging="360"/>
      </w:pPr>
      <w:rPr>
        <w:rFonts w:hint="default"/>
      </w:rPr>
    </w:lvl>
    <w:lvl w:ilvl="1" w:tplc="B0FADC5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B3718"/>
    <w:multiLevelType w:val="hybridMultilevel"/>
    <w:tmpl w:val="514AE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30D52"/>
    <w:multiLevelType w:val="hybridMultilevel"/>
    <w:tmpl w:val="AB741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7496E"/>
    <w:multiLevelType w:val="hybridMultilevel"/>
    <w:tmpl w:val="465CA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743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A1758D"/>
    <w:multiLevelType w:val="hybridMultilevel"/>
    <w:tmpl w:val="9C54B218"/>
    <w:lvl w:ilvl="0" w:tplc="0409000F">
      <w:start w:val="1"/>
      <w:numFmt w:val="decimal"/>
      <w:lvlText w:val="%1."/>
      <w:lvlJc w:val="left"/>
      <w:pPr>
        <w:ind w:left="720" w:hanging="360"/>
      </w:pPr>
      <w:rPr>
        <w:rFonts w:hint="default"/>
      </w:rPr>
    </w:lvl>
    <w:lvl w:ilvl="1" w:tplc="B0FADC5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161D"/>
    <w:multiLevelType w:val="hybridMultilevel"/>
    <w:tmpl w:val="F5685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D5351"/>
    <w:multiLevelType w:val="hybridMultilevel"/>
    <w:tmpl w:val="88627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35063"/>
    <w:multiLevelType w:val="hybridMultilevel"/>
    <w:tmpl w:val="ED0C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02302"/>
    <w:multiLevelType w:val="hybridMultilevel"/>
    <w:tmpl w:val="8C120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3522D"/>
    <w:multiLevelType w:val="hybridMultilevel"/>
    <w:tmpl w:val="0A604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467BD"/>
    <w:multiLevelType w:val="hybridMultilevel"/>
    <w:tmpl w:val="199606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357EF"/>
    <w:multiLevelType w:val="hybridMultilevel"/>
    <w:tmpl w:val="7DE8C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A29E9"/>
    <w:multiLevelType w:val="hybridMultilevel"/>
    <w:tmpl w:val="11C87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F63E7"/>
    <w:multiLevelType w:val="hybridMultilevel"/>
    <w:tmpl w:val="CE32F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1366A2"/>
    <w:multiLevelType w:val="hybridMultilevel"/>
    <w:tmpl w:val="5740C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47092"/>
    <w:multiLevelType w:val="hybridMultilevel"/>
    <w:tmpl w:val="D6F2A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214E3"/>
    <w:multiLevelType w:val="hybridMultilevel"/>
    <w:tmpl w:val="41969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76821"/>
    <w:multiLevelType w:val="hybridMultilevel"/>
    <w:tmpl w:val="97F87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6F5545"/>
    <w:multiLevelType w:val="hybridMultilevel"/>
    <w:tmpl w:val="0BEEE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44209C"/>
    <w:multiLevelType w:val="hybridMultilevel"/>
    <w:tmpl w:val="C24EABA0"/>
    <w:lvl w:ilvl="0" w:tplc="42CA9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9"/>
  </w:num>
  <w:num w:numId="5">
    <w:abstractNumId w:val="17"/>
  </w:num>
  <w:num w:numId="6">
    <w:abstractNumId w:val="23"/>
  </w:num>
  <w:num w:numId="7">
    <w:abstractNumId w:val="1"/>
  </w:num>
  <w:num w:numId="8">
    <w:abstractNumId w:val="18"/>
  </w:num>
  <w:num w:numId="9">
    <w:abstractNumId w:val="25"/>
  </w:num>
  <w:num w:numId="10">
    <w:abstractNumId w:val="5"/>
  </w:num>
  <w:num w:numId="11">
    <w:abstractNumId w:val="16"/>
  </w:num>
  <w:num w:numId="12">
    <w:abstractNumId w:val="13"/>
  </w:num>
  <w:num w:numId="13">
    <w:abstractNumId w:val="0"/>
  </w:num>
  <w:num w:numId="14">
    <w:abstractNumId w:val="22"/>
  </w:num>
  <w:num w:numId="15">
    <w:abstractNumId w:val="19"/>
  </w:num>
  <w:num w:numId="16">
    <w:abstractNumId w:val="12"/>
  </w:num>
  <w:num w:numId="17">
    <w:abstractNumId w:val="9"/>
    <w:lvlOverride w:ilvl="0">
      <w:lvl w:ilvl="0" w:tplc="0409000F">
        <w:start w:val="1"/>
        <w:numFmt w:val="decimal"/>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9"/>
    <w:lvlOverride w:ilvl="0">
      <w:lvl w:ilvl="0" w:tplc="0409000F">
        <w:start w:val="1"/>
        <w:numFmt w:val="decimal"/>
        <w:lvlText w:val="%1."/>
        <w:lvlJc w:val="left"/>
        <w:pPr>
          <w:ind w:left="720"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9"/>
    <w:lvlOverride w:ilvl="0">
      <w:lvl w:ilvl="0" w:tplc="0409000F">
        <w:start w:val="1"/>
        <w:numFmt w:val="decimal"/>
        <w:lvlText w:val="%1."/>
        <w:lvlJc w:val="left"/>
        <w:pPr>
          <w:ind w:left="720"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2"/>
  </w:num>
  <w:num w:numId="21">
    <w:abstractNumId w:val="26"/>
  </w:num>
  <w:num w:numId="22">
    <w:abstractNumId w:val="7"/>
  </w:num>
  <w:num w:numId="23">
    <w:abstractNumId w:val="3"/>
  </w:num>
  <w:num w:numId="24">
    <w:abstractNumId w:val="14"/>
  </w:num>
  <w:num w:numId="25">
    <w:abstractNumId w:val="20"/>
  </w:num>
  <w:num w:numId="26">
    <w:abstractNumId w:val="6"/>
  </w:num>
  <w:num w:numId="27">
    <w:abstractNumId w:val="11"/>
  </w:num>
  <w:num w:numId="28">
    <w:abstractNumId w:val="15"/>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87"/>
    <w:rsid w:val="0001294B"/>
    <w:rsid w:val="0002055E"/>
    <w:rsid w:val="0002180A"/>
    <w:rsid w:val="0003174E"/>
    <w:rsid w:val="0003372F"/>
    <w:rsid w:val="0004099F"/>
    <w:rsid w:val="000427AF"/>
    <w:rsid w:val="00046011"/>
    <w:rsid w:val="00062090"/>
    <w:rsid w:val="00062542"/>
    <w:rsid w:val="00062695"/>
    <w:rsid w:val="0007088F"/>
    <w:rsid w:val="00070C89"/>
    <w:rsid w:val="0007248C"/>
    <w:rsid w:val="00081206"/>
    <w:rsid w:val="000874AF"/>
    <w:rsid w:val="000C2966"/>
    <w:rsid w:val="000C3EF2"/>
    <w:rsid w:val="000D7E61"/>
    <w:rsid w:val="000F3AD1"/>
    <w:rsid w:val="00104E92"/>
    <w:rsid w:val="00110E9E"/>
    <w:rsid w:val="00122CFB"/>
    <w:rsid w:val="001262D3"/>
    <w:rsid w:val="00127E59"/>
    <w:rsid w:val="00132EC5"/>
    <w:rsid w:val="00133C92"/>
    <w:rsid w:val="00150C76"/>
    <w:rsid w:val="00156C05"/>
    <w:rsid w:val="001638AF"/>
    <w:rsid w:val="00165E16"/>
    <w:rsid w:val="00174848"/>
    <w:rsid w:val="00186875"/>
    <w:rsid w:val="001902C9"/>
    <w:rsid w:val="001913BA"/>
    <w:rsid w:val="00194C1A"/>
    <w:rsid w:val="001B1207"/>
    <w:rsid w:val="001B7E79"/>
    <w:rsid w:val="001E324D"/>
    <w:rsid w:val="001E7105"/>
    <w:rsid w:val="001F3B47"/>
    <w:rsid w:val="001F3E2F"/>
    <w:rsid w:val="001F70B7"/>
    <w:rsid w:val="00203FB0"/>
    <w:rsid w:val="00204195"/>
    <w:rsid w:val="00207756"/>
    <w:rsid w:val="00211D21"/>
    <w:rsid w:val="00221A36"/>
    <w:rsid w:val="002318BA"/>
    <w:rsid w:val="0023448F"/>
    <w:rsid w:val="00237A0E"/>
    <w:rsid w:val="002445B9"/>
    <w:rsid w:val="0025108F"/>
    <w:rsid w:val="0025588A"/>
    <w:rsid w:val="00256FF5"/>
    <w:rsid w:val="002732A5"/>
    <w:rsid w:val="0027501A"/>
    <w:rsid w:val="00282288"/>
    <w:rsid w:val="002824CD"/>
    <w:rsid w:val="00285ECE"/>
    <w:rsid w:val="00291F47"/>
    <w:rsid w:val="00294235"/>
    <w:rsid w:val="00296944"/>
    <w:rsid w:val="002B02D4"/>
    <w:rsid w:val="002B15C9"/>
    <w:rsid w:val="002B306F"/>
    <w:rsid w:val="002C6B5B"/>
    <w:rsid w:val="002D688D"/>
    <w:rsid w:val="002E11EB"/>
    <w:rsid w:val="002E2F07"/>
    <w:rsid w:val="002E65DE"/>
    <w:rsid w:val="00303F8F"/>
    <w:rsid w:val="003040C7"/>
    <w:rsid w:val="0030541F"/>
    <w:rsid w:val="00305BDB"/>
    <w:rsid w:val="003141E2"/>
    <w:rsid w:val="003217E4"/>
    <w:rsid w:val="00326332"/>
    <w:rsid w:val="00332349"/>
    <w:rsid w:val="0033774F"/>
    <w:rsid w:val="00342A88"/>
    <w:rsid w:val="00343D24"/>
    <w:rsid w:val="003524DD"/>
    <w:rsid w:val="00356278"/>
    <w:rsid w:val="0036219A"/>
    <w:rsid w:val="003838ED"/>
    <w:rsid w:val="003C6EF4"/>
    <w:rsid w:val="003D1873"/>
    <w:rsid w:val="003E17E5"/>
    <w:rsid w:val="003E2447"/>
    <w:rsid w:val="003E636E"/>
    <w:rsid w:val="003F02B6"/>
    <w:rsid w:val="003F6E15"/>
    <w:rsid w:val="003F7AAA"/>
    <w:rsid w:val="00400A68"/>
    <w:rsid w:val="00402D8E"/>
    <w:rsid w:val="00410399"/>
    <w:rsid w:val="00422E7B"/>
    <w:rsid w:val="00423C43"/>
    <w:rsid w:val="004263F0"/>
    <w:rsid w:val="004332F0"/>
    <w:rsid w:val="00433A5B"/>
    <w:rsid w:val="00452193"/>
    <w:rsid w:val="004574AE"/>
    <w:rsid w:val="0046686B"/>
    <w:rsid w:val="00473A92"/>
    <w:rsid w:val="004A46FC"/>
    <w:rsid w:val="004B552F"/>
    <w:rsid w:val="004B7FCA"/>
    <w:rsid w:val="004C0D91"/>
    <w:rsid w:val="004D4DD3"/>
    <w:rsid w:val="004E2FAD"/>
    <w:rsid w:val="00505389"/>
    <w:rsid w:val="00510F1E"/>
    <w:rsid w:val="00513316"/>
    <w:rsid w:val="00521786"/>
    <w:rsid w:val="00522E72"/>
    <w:rsid w:val="005263C7"/>
    <w:rsid w:val="00531383"/>
    <w:rsid w:val="005358DE"/>
    <w:rsid w:val="00540082"/>
    <w:rsid w:val="005425E8"/>
    <w:rsid w:val="005454B9"/>
    <w:rsid w:val="00546971"/>
    <w:rsid w:val="00546F59"/>
    <w:rsid w:val="00550B40"/>
    <w:rsid w:val="00553F26"/>
    <w:rsid w:val="00570B01"/>
    <w:rsid w:val="0057141A"/>
    <w:rsid w:val="00573708"/>
    <w:rsid w:val="005775FF"/>
    <w:rsid w:val="00584B76"/>
    <w:rsid w:val="005A17AB"/>
    <w:rsid w:val="005A4CB7"/>
    <w:rsid w:val="005A5C69"/>
    <w:rsid w:val="005B079C"/>
    <w:rsid w:val="005B253C"/>
    <w:rsid w:val="005B2F26"/>
    <w:rsid w:val="005C16A1"/>
    <w:rsid w:val="005C2D9C"/>
    <w:rsid w:val="005C438F"/>
    <w:rsid w:val="005D1BA2"/>
    <w:rsid w:val="005D37EB"/>
    <w:rsid w:val="005E5870"/>
    <w:rsid w:val="005E769F"/>
    <w:rsid w:val="005F3B53"/>
    <w:rsid w:val="005F3E64"/>
    <w:rsid w:val="005F5E17"/>
    <w:rsid w:val="0060462D"/>
    <w:rsid w:val="00611815"/>
    <w:rsid w:val="00614599"/>
    <w:rsid w:val="0062436D"/>
    <w:rsid w:val="00631FB0"/>
    <w:rsid w:val="006377EC"/>
    <w:rsid w:val="00644BC1"/>
    <w:rsid w:val="006523DE"/>
    <w:rsid w:val="00653714"/>
    <w:rsid w:val="00653C49"/>
    <w:rsid w:val="00662320"/>
    <w:rsid w:val="006657ED"/>
    <w:rsid w:val="00682BFA"/>
    <w:rsid w:val="00690476"/>
    <w:rsid w:val="0069139F"/>
    <w:rsid w:val="00691993"/>
    <w:rsid w:val="006A459F"/>
    <w:rsid w:val="006A78BC"/>
    <w:rsid w:val="006B6EC5"/>
    <w:rsid w:val="006C0F21"/>
    <w:rsid w:val="006C1A86"/>
    <w:rsid w:val="006C25EA"/>
    <w:rsid w:val="006D5113"/>
    <w:rsid w:val="006D57A1"/>
    <w:rsid w:val="006E07D0"/>
    <w:rsid w:val="006F005C"/>
    <w:rsid w:val="006F2F54"/>
    <w:rsid w:val="006F3791"/>
    <w:rsid w:val="007061A5"/>
    <w:rsid w:val="00716C06"/>
    <w:rsid w:val="00723032"/>
    <w:rsid w:val="0072329E"/>
    <w:rsid w:val="00730BAE"/>
    <w:rsid w:val="007400D8"/>
    <w:rsid w:val="007465FD"/>
    <w:rsid w:val="00765F3B"/>
    <w:rsid w:val="0077421F"/>
    <w:rsid w:val="007800FE"/>
    <w:rsid w:val="00780C51"/>
    <w:rsid w:val="00790842"/>
    <w:rsid w:val="007A32A6"/>
    <w:rsid w:val="007A69F1"/>
    <w:rsid w:val="007D3CCB"/>
    <w:rsid w:val="007D7287"/>
    <w:rsid w:val="007E08E5"/>
    <w:rsid w:val="007E1FD6"/>
    <w:rsid w:val="007E560F"/>
    <w:rsid w:val="007E5A55"/>
    <w:rsid w:val="007E60AD"/>
    <w:rsid w:val="007F6648"/>
    <w:rsid w:val="00801D2A"/>
    <w:rsid w:val="008069F7"/>
    <w:rsid w:val="008105AC"/>
    <w:rsid w:val="00820FD8"/>
    <w:rsid w:val="00823D2F"/>
    <w:rsid w:val="00837EC8"/>
    <w:rsid w:val="00841E60"/>
    <w:rsid w:val="00847748"/>
    <w:rsid w:val="00853755"/>
    <w:rsid w:val="00861130"/>
    <w:rsid w:val="008615B6"/>
    <w:rsid w:val="008804BA"/>
    <w:rsid w:val="0088722A"/>
    <w:rsid w:val="008905FA"/>
    <w:rsid w:val="00895180"/>
    <w:rsid w:val="008A057E"/>
    <w:rsid w:val="008B6BEB"/>
    <w:rsid w:val="008C14D2"/>
    <w:rsid w:val="008D5500"/>
    <w:rsid w:val="008E078B"/>
    <w:rsid w:val="008E64AA"/>
    <w:rsid w:val="008F138A"/>
    <w:rsid w:val="009043E7"/>
    <w:rsid w:val="0090730F"/>
    <w:rsid w:val="0094175F"/>
    <w:rsid w:val="00944AD1"/>
    <w:rsid w:val="00955C94"/>
    <w:rsid w:val="009619D7"/>
    <w:rsid w:val="00975CFC"/>
    <w:rsid w:val="009774B9"/>
    <w:rsid w:val="00985B22"/>
    <w:rsid w:val="009B7496"/>
    <w:rsid w:val="009C53D8"/>
    <w:rsid w:val="009D00C5"/>
    <w:rsid w:val="009E158D"/>
    <w:rsid w:val="009E7A12"/>
    <w:rsid w:val="009F2DE5"/>
    <w:rsid w:val="009F795B"/>
    <w:rsid w:val="00A01996"/>
    <w:rsid w:val="00A05194"/>
    <w:rsid w:val="00A26027"/>
    <w:rsid w:val="00A401E6"/>
    <w:rsid w:val="00A53671"/>
    <w:rsid w:val="00A55EBE"/>
    <w:rsid w:val="00A604AC"/>
    <w:rsid w:val="00A71800"/>
    <w:rsid w:val="00A75229"/>
    <w:rsid w:val="00A76E9B"/>
    <w:rsid w:val="00A90459"/>
    <w:rsid w:val="00A91475"/>
    <w:rsid w:val="00A965E5"/>
    <w:rsid w:val="00AA2D95"/>
    <w:rsid w:val="00AB2190"/>
    <w:rsid w:val="00AB4B88"/>
    <w:rsid w:val="00AB7A3A"/>
    <w:rsid w:val="00AC28D0"/>
    <w:rsid w:val="00AC5AEB"/>
    <w:rsid w:val="00AC60C7"/>
    <w:rsid w:val="00AC624F"/>
    <w:rsid w:val="00AE26AC"/>
    <w:rsid w:val="00AE2758"/>
    <w:rsid w:val="00AE3F82"/>
    <w:rsid w:val="00AF234D"/>
    <w:rsid w:val="00B1283C"/>
    <w:rsid w:val="00B1738E"/>
    <w:rsid w:val="00B266B3"/>
    <w:rsid w:val="00B32CE0"/>
    <w:rsid w:val="00B336C4"/>
    <w:rsid w:val="00B37C07"/>
    <w:rsid w:val="00B41BA4"/>
    <w:rsid w:val="00B4414D"/>
    <w:rsid w:val="00B47377"/>
    <w:rsid w:val="00B47E65"/>
    <w:rsid w:val="00B6718F"/>
    <w:rsid w:val="00B711B4"/>
    <w:rsid w:val="00B974FC"/>
    <w:rsid w:val="00BA7831"/>
    <w:rsid w:val="00BB2F62"/>
    <w:rsid w:val="00BC2B5C"/>
    <w:rsid w:val="00BE101C"/>
    <w:rsid w:val="00BE6C86"/>
    <w:rsid w:val="00BF27B2"/>
    <w:rsid w:val="00BF4EC2"/>
    <w:rsid w:val="00C0072A"/>
    <w:rsid w:val="00C07B73"/>
    <w:rsid w:val="00C202B6"/>
    <w:rsid w:val="00C30727"/>
    <w:rsid w:val="00C42EAC"/>
    <w:rsid w:val="00C57C17"/>
    <w:rsid w:val="00C6093F"/>
    <w:rsid w:val="00C647AB"/>
    <w:rsid w:val="00C714C1"/>
    <w:rsid w:val="00C75A4D"/>
    <w:rsid w:val="00C77407"/>
    <w:rsid w:val="00C8602D"/>
    <w:rsid w:val="00C97B84"/>
    <w:rsid w:val="00CA6B9A"/>
    <w:rsid w:val="00CB2F95"/>
    <w:rsid w:val="00CC1240"/>
    <w:rsid w:val="00CC2DB6"/>
    <w:rsid w:val="00CC391A"/>
    <w:rsid w:val="00CD4B0C"/>
    <w:rsid w:val="00CD60AB"/>
    <w:rsid w:val="00CE1098"/>
    <w:rsid w:val="00CE1CD7"/>
    <w:rsid w:val="00CF3FB7"/>
    <w:rsid w:val="00D12148"/>
    <w:rsid w:val="00D14B64"/>
    <w:rsid w:val="00D239FD"/>
    <w:rsid w:val="00D27AEC"/>
    <w:rsid w:val="00D3475A"/>
    <w:rsid w:val="00D372B2"/>
    <w:rsid w:val="00D448B5"/>
    <w:rsid w:val="00D466E0"/>
    <w:rsid w:val="00D5378E"/>
    <w:rsid w:val="00D57155"/>
    <w:rsid w:val="00D57519"/>
    <w:rsid w:val="00D57C40"/>
    <w:rsid w:val="00D627DF"/>
    <w:rsid w:val="00D66F11"/>
    <w:rsid w:val="00D744BE"/>
    <w:rsid w:val="00D749BA"/>
    <w:rsid w:val="00D90BAF"/>
    <w:rsid w:val="00D93C3E"/>
    <w:rsid w:val="00DA0431"/>
    <w:rsid w:val="00DA370B"/>
    <w:rsid w:val="00DB1AD7"/>
    <w:rsid w:val="00DB2282"/>
    <w:rsid w:val="00DB2F5B"/>
    <w:rsid w:val="00DC349C"/>
    <w:rsid w:val="00DC3982"/>
    <w:rsid w:val="00DC559E"/>
    <w:rsid w:val="00DC7261"/>
    <w:rsid w:val="00DC75BE"/>
    <w:rsid w:val="00DC7F59"/>
    <w:rsid w:val="00DD1405"/>
    <w:rsid w:val="00DE1DDB"/>
    <w:rsid w:val="00DE3D7C"/>
    <w:rsid w:val="00DE54CF"/>
    <w:rsid w:val="00DF31EC"/>
    <w:rsid w:val="00DF5135"/>
    <w:rsid w:val="00E40D16"/>
    <w:rsid w:val="00E53D40"/>
    <w:rsid w:val="00E70117"/>
    <w:rsid w:val="00E75665"/>
    <w:rsid w:val="00E8107D"/>
    <w:rsid w:val="00E94BD0"/>
    <w:rsid w:val="00EA2F31"/>
    <w:rsid w:val="00EB1B4C"/>
    <w:rsid w:val="00EC1246"/>
    <w:rsid w:val="00EC617B"/>
    <w:rsid w:val="00EC626A"/>
    <w:rsid w:val="00ED466A"/>
    <w:rsid w:val="00EE4E81"/>
    <w:rsid w:val="00EF090F"/>
    <w:rsid w:val="00EF468F"/>
    <w:rsid w:val="00EF4CCB"/>
    <w:rsid w:val="00EF5868"/>
    <w:rsid w:val="00EF63EC"/>
    <w:rsid w:val="00F02D95"/>
    <w:rsid w:val="00F03B6F"/>
    <w:rsid w:val="00F0407D"/>
    <w:rsid w:val="00F061D3"/>
    <w:rsid w:val="00F1700E"/>
    <w:rsid w:val="00F202A3"/>
    <w:rsid w:val="00F243CB"/>
    <w:rsid w:val="00F27105"/>
    <w:rsid w:val="00F6449A"/>
    <w:rsid w:val="00FA0A8C"/>
    <w:rsid w:val="00FA3E37"/>
    <w:rsid w:val="00FB5626"/>
    <w:rsid w:val="00FB597F"/>
    <w:rsid w:val="00FB7197"/>
    <w:rsid w:val="00FC23B4"/>
    <w:rsid w:val="00FC3E5C"/>
    <w:rsid w:val="00FC632D"/>
    <w:rsid w:val="00FD42A4"/>
    <w:rsid w:val="00FD76C8"/>
    <w:rsid w:val="00FE5CA9"/>
    <w:rsid w:val="00FE6AA0"/>
    <w:rsid w:val="00FF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7233"/>
  <w15:chartTrackingRefBased/>
  <w15:docId w15:val="{C4318C87-8A28-4F2F-968C-BC244037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B6BEB"/>
    <w:pPr>
      <w:ind w:left="720"/>
      <w:contextualSpacing/>
    </w:pPr>
  </w:style>
  <w:style w:type="character" w:styleId="CommentReference">
    <w:name w:val="annotation reference"/>
    <w:basedOn w:val="DefaultParagraphFont"/>
    <w:uiPriority w:val="99"/>
    <w:semiHidden/>
    <w:unhideWhenUsed/>
    <w:rsid w:val="008B6BEB"/>
    <w:rPr>
      <w:sz w:val="16"/>
      <w:szCs w:val="16"/>
    </w:rPr>
  </w:style>
  <w:style w:type="paragraph" w:styleId="CommentText">
    <w:name w:val="annotation text"/>
    <w:basedOn w:val="Normal"/>
    <w:link w:val="CommentTextChar"/>
    <w:uiPriority w:val="99"/>
    <w:semiHidden/>
    <w:unhideWhenUsed/>
    <w:rsid w:val="008B6BEB"/>
    <w:pPr>
      <w:spacing w:line="240" w:lineRule="auto"/>
    </w:pPr>
    <w:rPr>
      <w:sz w:val="20"/>
      <w:szCs w:val="20"/>
    </w:rPr>
  </w:style>
  <w:style w:type="character" w:customStyle="1" w:styleId="CommentTextChar">
    <w:name w:val="Comment Text Char"/>
    <w:basedOn w:val="DefaultParagraphFont"/>
    <w:link w:val="CommentText"/>
    <w:uiPriority w:val="99"/>
    <w:semiHidden/>
    <w:rsid w:val="008B6BEB"/>
    <w:rPr>
      <w:sz w:val="20"/>
      <w:szCs w:val="20"/>
    </w:rPr>
  </w:style>
  <w:style w:type="paragraph" w:styleId="CommentSubject">
    <w:name w:val="annotation subject"/>
    <w:basedOn w:val="CommentText"/>
    <w:next w:val="CommentText"/>
    <w:link w:val="CommentSubjectChar"/>
    <w:uiPriority w:val="99"/>
    <w:semiHidden/>
    <w:unhideWhenUsed/>
    <w:rsid w:val="008B6BEB"/>
    <w:rPr>
      <w:b/>
      <w:bCs/>
    </w:rPr>
  </w:style>
  <w:style w:type="character" w:customStyle="1" w:styleId="CommentSubjectChar">
    <w:name w:val="Comment Subject Char"/>
    <w:basedOn w:val="CommentTextChar"/>
    <w:link w:val="CommentSubject"/>
    <w:uiPriority w:val="99"/>
    <w:semiHidden/>
    <w:rsid w:val="008B6BEB"/>
    <w:rPr>
      <w:b/>
      <w:bCs/>
      <w:sz w:val="20"/>
      <w:szCs w:val="20"/>
    </w:rPr>
  </w:style>
  <w:style w:type="paragraph" w:styleId="BalloonText">
    <w:name w:val="Balloon Text"/>
    <w:basedOn w:val="Normal"/>
    <w:link w:val="BalloonTextChar"/>
    <w:uiPriority w:val="99"/>
    <w:semiHidden/>
    <w:unhideWhenUsed/>
    <w:rsid w:val="008B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EB"/>
    <w:rPr>
      <w:rFonts w:ascii="Segoe UI" w:hAnsi="Segoe UI" w:cs="Segoe UI"/>
      <w:sz w:val="18"/>
      <w:szCs w:val="18"/>
    </w:rPr>
  </w:style>
  <w:style w:type="paragraph" w:styleId="FootnoteText">
    <w:name w:val="footnote text"/>
    <w:basedOn w:val="Normal"/>
    <w:link w:val="FootnoteTextChar"/>
    <w:uiPriority w:val="99"/>
    <w:semiHidden/>
    <w:unhideWhenUsed/>
    <w:rsid w:val="00DC559E"/>
    <w:pPr>
      <w:spacing w:after="0" w:line="240" w:lineRule="auto"/>
    </w:pPr>
    <w:rPr>
      <w:rFonts w:ascii="Univers (WN)" w:eastAsia="Times New Roman" w:hAnsi="Univers (WN)" w:cs="Times New Roman"/>
      <w:b/>
      <w:sz w:val="20"/>
      <w:szCs w:val="20"/>
    </w:rPr>
  </w:style>
  <w:style w:type="character" w:customStyle="1" w:styleId="FootnoteTextChar">
    <w:name w:val="Footnote Text Char"/>
    <w:basedOn w:val="DefaultParagraphFont"/>
    <w:link w:val="FootnoteText"/>
    <w:uiPriority w:val="99"/>
    <w:semiHidden/>
    <w:rsid w:val="00DC559E"/>
    <w:rPr>
      <w:rFonts w:ascii="Univers (WN)" w:eastAsia="Times New Roman" w:hAnsi="Univers (WN)" w:cs="Times New Roman"/>
      <w:b/>
      <w:sz w:val="20"/>
      <w:szCs w:val="20"/>
    </w:rPr>
  </w:style>
  <w:style w:type="character" w:styleId="FootnoteReference">
    <w:name w:val="footnote reference"/>
    <w:basedOn w:val="DefaultParagraphFont"/>
    <w:uiPriority w:val="99"/>
    <w:semiHidden/>
    <w:unhideWhenUsed/>
    <w:rsid w:val="00DC559E"/>
    <w:rPr>
      <w:vertAlign w:val="superscript"/>
    </w:rPr>
  </w:style>
  <w:style w:type="character" w:customStyle="1" w:styleId="ListParagraphChar">
    <w:name w:val="List Paragraph Char"/>
    <w:basedOn w:val="DefaultParagraphFont"/>
    <w:link w:val="ListParagraph"/>
    <w:uiPriority w:val="99"/>
    <w:locked/>
    <w:rsid w:val="00DC559E"/>
  </w:style>
  <w:style w:type="character" w:styleId="Hyperlink">
    <w:name w:val="Hyperlink"/>
    <w:basedOn w:val="DefaultParagraphFont"/>
    <w:uiPriority w:val="99"/>
    <w:unhideWhenUsed/>
    <w:rsid w:val="008E64AA"/>
    <w:rPr>
      <w:color w:val="0563C1" w:themeColor="hyperlink"/>
      <w:u w:val="single"/>
    </w:rPr>
  </w:style>
  <w:style w:type="paragraph" w:styleId="Header">
    <w:name w:val="header"/>
    <w:basedOn w:val="Normal"/>
    <w:link w:val="HeaderChar"/>
    <w:uiPriority w:val="99"/>
    <w:unhideWhenUsed/>
    <w:rsid w:val="00EC6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17B"/>
  </w:style>
  <w:style w:type="paragraph" w:styleId="Footer">
    <w:name w:val="footer"/>
    <w:basedOn w:val="Normal"/>
    <w:link w:val="FooterChar"/>
    <w:uiPriority w:val="99"/>
    <w:unhideWhenUsed/>
    <w:rsid w:val="00EC6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17B"/>
  </w:style>
  <w:style w:type="table" w:styleId="TableGrid">
    <w:name w:val="Table Grid"/>
    <w:basedOn w:val="TableNormal"/>
    <w:uiPriority w:val="59"/>
    <w:rsid w:val="00584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86113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0" w:line="240" w:lineRule="auto"/>
      <w:ind w:left="36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861130"/>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E81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211">
      <w:bodyDiv w:val="1"/>
      <w:marLeft w:val="0"/>
      <w:marRight w:val="0"/>
      <w:marTop w:val="0"/>
      <w:marBottom w:val="0"/>
      <w:divBdr>
        <w:top w:val="none" w:sz="0" w:space="0" w:color="auto"/>
        <w:left w:val="none" w:sz="0" w:space="0" w:color="auto"/>
        <w:bottom w:val="none" w:sz="0" w:space="0" w:color="auto"/>
        <w:right w:val="none" w:sz="0" w:space="0" w:color="auto"/>
      </w:divBdr>
    </w:div>
    <w:div w:id="7879408">
      <w:bodyDiv w:val="1"/>
      <w:marLeft w:val="0"/>
      <w:marRight w:val="0"/>
      <w:marTop w:val="0"/>
      <w:marBottom w:val="0"/>
      <w:divBdr>
        <w:top w:val="none" w:sz="0" w:space="0" w:color="auto"/>
        <w:left w:val="none" w:sz="0" w:space="0" w:color="auto"/>
        <w:bottom w:val="none" w:sz="0" w:space="0" w:color="auto"/>
        <w:right w:val="none" w:sz="0" w:space="0" w:color="auto"/>
      </w:divBdr>
    </w:div>
    <w:div w:id="66802166">
      <w:bodyDiv w:val="1"/>
      <w:marLeft w:val="0"/>
      <w:marRight w:val="0"/>
      <w:marTop w:val="0"/>
      <w:marBottom w:val="0"/>
      <w:divBdr>
        <w:top w:val="none" w:sz="0" w:space="0" w:color="auto"/>
        <w:left w:val="none" w:sz="0" w:space="0" w:color="auto"/>
        <w:bottom w:val="none" w:sz="0" w:space="0" w:color="auto"/>
        <w:right w:val="none" w:sz="0" w:space="0" w:color="auto"/>
      </w:divBdr>
    </w:div>
    <w:div w:id="116654364">
      <w:bodyDiv w:val="1"/>
      <w:marLeft w:val="0"/>
      <w:marRight w:val="0"/>
      <w:marTop w:val="0"/>
      <w:marBottom w:val="0"/>
      <w:divBdr>
        <w:top w:val="none" w:sz="0" w:space="0" w:color="auto"/>
        <w:left w:val="none" w:sz="0" w:space="0" w:color="auto"/>
        <w:bottom w:val="none" w:sz="0" w:space="0" w:color="auto"/>
        <w:right w:val="none" w:sz="0" w:space="0" w:color="auto"/>
      </w:divBdr>
    </w:div>
    <w:div w:id="184372005">
      <w:bodyDiv w:val="1"/>
      <w:marLeft w:val="0"/>
      <w:marRight w:val="0"/>
      <w:marTop w:val="0"/>
      <w:marBottom w:val="0"/>
      <w:divBdr>
        <w:top w:val="none" w:sz="0" w:space="0" w:color="auto"/>
        <w:left w:val="none" w:sz="0" w:space="0" w:color="auto"/>
        <w:bottom w:val="none" w:sz="0" w:space="0" w:color="auto"/>
        <w:right w:val="none" w:sz="0" w:space="0" w:color="auto"/>
      </w:divBdr>
    </w:div>
    <w:div w:id="200745536">
      <w:bodyDiv w:val="1"/>
      <w:marLeft w:val="0"/>
      <w:marRight w:val="0"/>
      <w:marTop w:val="0"/>
      <w:marBottom w:val="0"/>
      <w:divBdr>
        <w:top w:val="none" w:sz="0" w:space="0" w:color="auto"/>
        <w:left w:val="none" w:sz="0" w:space="0" w:color="auto"/>
        <w:bottom w:val="none" w:sz="0" w:space="0" w:color="auto"/>
        <w:right w:val="none" w:sz="0" w:space="0" w:color="auto"/>
      </w:divBdr>
    </w:div>
    <w:div w:id="233706314">
      <w:bodyDiv w:val="1"/>
      <w:marLeft w:val="0"/>
      <w:marRight w:val="0"/>
      <w:marTop w:val="0"/>
      <w:marBottom w:val="0"/>
      <w:divBdr>
        <w:top w:val="none" w:sz="0" w:space="0" w:color="auto"/>
        <w:left w:val="none" w:sz="0" w:space="0" w:color="auto"/>
        <w:bottom w:val="none" w:sz="0" w:space="0" w:color="auto"/>
        <w:right w:val="none" w:sz="0" w:space="0" w:color="auto"/>
      </w:divBdr>
    </w:div>
    <w:div w:id="247540247">
      <w:bodyDiv w:val="1"/>
      <w:marLeft w:val="0"/>
      <w:marRight w:val="0"/>
      <w:marTop w:val="0"/>
      <w:marBottom w:val="0"/>
      <w:divBdr>
        <w:top w:val="none" w:sz="0" w:space="0" w:color="auto"/>
        <w:left w:val="none" w:sz="0" w:space="0" w:color="auto"/>
        <w:bottom w:val="none" w:sz="0" w:space="0" w:color="auto"/>
        <w:right w:val="none" w:sz="0" w:space="0" w:color="auto"/>
      </w:divBdr>
    </w:div>
    <w:div w:id="265576810">
      <w:bodyDiv w:val="1"/>
      <w:marLeft w:val="0"/>
      <w:marRight w:val="0"/>
      <w:marTop w:val="0"/>
      <w:marBottom w:val="0"/>
      <w:divBdr>
        <w:top w:val="none" w:sz="0" w:space="0" w:color="auto"/>
        <w:left w:val="none" w:sz="0" w:space="0" w:color="auto"/>
        <w:bottom w:val="none" w:sz="0" w:space="0" w:color="auto"/>
        <w:right w:val="none" w:sz="0" w:space="0" w:color="auto"/>
      </w:divBdr>
    </w:div>
    <w:div w:id="295646717">
      <w:bodyDiv w:val="1"/>
      <w:marLeft w:val="0"/>
      <w:marRight w:val="0"/>
      <w:marTop w:val="0"/>
      <w:marBottom w:val="0"/>
      <w:divBdr>
        <w:top w:val="none" w:sz="0" w:space="0" w:color="auto"/>
        <w:left w:val="none" w:sz="0" w:space="0" w:color="auto"/>
        <w:bottom w:val="none" w:sz="0" w:space="0" w:color="auto"/>
        <w:right w:val="none" w:sz="0" w:space="0" w:color="auto"/>
      </w:divBdr>
    </w:div>
    <w:div w:id="298190076">
      <w:bodyDiv w:val="1"/>
      <w:marLeft w:val="0"/>
      <w:marRight w:val="0"/>
      <w:marTop w:val="0"/>
      <w:marBottom w:val="0"/>
      <w:divBdr>
        <w:top w:val="none" w:sz="0" w:space="0" w:color="auto"/>
        <w:left w:val="none" w:sz="0" w:space="0" w:color="auto"/>
        <w:bottom w:val="none" w:sz="0" w:space="0" w:color="auto"/>
        <w:right w:val="none" w:sz="0" w:space="0" w:color="auto"/>
      </w:divBdr>
    </w:div>
    <w:div w:id="306982338">
      <w:bodyDiv w:val="1"/>
      <w:marLeft w:val="0"/>
      <w:marRight w:val="0"/>
      <w:marTop w:val="0"/>
      <w:marBottom w:val="0"/>
      <w:divBdr>
        <w:top w:val="none" w:sz="0" w:space="0" w:color="auto"/>
        <w:left w:val="none" w:sz="0" w:space="0" w:color="auto"/>
        <w:bottom w:val="none" w:sz="0" w:space="0" w:color="auto"/>
        <w:right w:val="none" w:sz="0" w:space="0" w:color="auto"/>
      </w:divBdr>
    </w:div>
    <w:div w:id="320544604">
      <w:bodyDiv w:val="1"/>
      <w:marLeft w:val="0"/>
      <w:marRight w:val="0"/>
      <w:marTop w:val="0"/>
      <w:marBottom w:val="0"/>
      <w:divBdr>
        <w:top w:val="none" w:sz="0" w:space="0" w:color="auto"/>
        <w:left w:val="none" w:sz="0" w:space="0" w:color="auto"/>
        <w:bottom w:val="none" w:sz="0" w:space="0" w:color="auto"/>
        <w:right w:val="none" w:sz="0" w:space="0" w:color="auto"/>
      </w:divBdr>
    </w:div>
    <w:div w:id="327367866">
      <w:bodyDiv w:val="1"/>
      <w:marLeft w:val="0"/>
      <w:marRight w:val="0"/>
      <w:marTop w:val="0"/>
      <w:marBottom w:val="0"/>
      <w:divBdr>
        <w:top w:val="none" w:sz="0" w:space="0" w:color="auto"/>
        <w:left w:val="none" w:sz="0" w:space="0" w:color="auto"/>
        <w:bottom w:val="none" w:sz="0" w:space="0" w:color="auto"/>
        <w:right w:val="none" w:sz="0" w:space="0" w:color="auto"/>
      </w:divBdr>
    </w:div>
    <w:div w:id="404299192">
      <w:bodyDiv w:val="1"/>
      <w:marLeft w:val="0"/>
      <w:marRight w:val="0"/>
      <w:marTop w:val="0"/>
      <w:marBottom w:val="0"/>
      <w:divBdr>
        <w:top w:val="none" w:sz="0" w:space="0" w:color="auto"/>
        <w:left w:val="none" w:sz="0" w:space="0" w:color="auto"/>
        <w:bottom w:val="none" w:sz="0" w:space="0" w:color="auto"/>
        <w:right w:val="none" w:sz="0" w:space="0" w:color="auto"/>
      </w:divBdr>
    </w:div>
    <w:div w:id="485173726">
      <w:bodyDiv w:val="1"/>
      <w:marLeft w:val="0"/>
      <w:marRight w:val="0"/>
      <w:marTop w:val="0"/>
      <w:marBottom w:val="0"/>
      <w:divBdr>
        <w:top w:val="none" w:sz="0" w:space="0" w:color="auto"/>
        <w:left w:val="none" w:sz="0" w:space="0" w:color="auto"/>
        <w:bottom w:val="none" w:sz="0" w:space="0" w:color="auto"/>
        <w:right w:val="none" w:sz="0" w:space="0" w:color="auto"/>
      </w:divBdr>
    </w:div>
    <w:div w:id="510992649">
      <w:bodyDiv w:val="1"/>
      <w:marLeft w:val="0"/>
      <w:marRight w:val="0"/>
      <w:marTop w:val="0"/>
      <w:marBottom w:val="0"/>
      <w:divBdr>
        <w:top w:val="none" w:sz="0" w:space="0" w:color="auto"/>
        <w:left w:val="none" w:sz="0" w:space="0" w:color="auto"/>
        <w:bottom w:val="none" w:sz="0" w:space="0" w:color="auto"/>
        <w:right w:val="none" w:sz="0" w:space="0" w:color="auto"/>
      </w:divBdr>
    </w:div>
    <w:div w:id="532036298">
      <w:bodyDiv w:val="1"/>
      <w:marLeft w:val="0"/>
      <w:marRight w:val="0"/>
      <w:marTop w:val="0"/>
      <w:marBottom w:val="0"/>
      <w:divBdr>
        <w:top w:val="none" w:sz="0" w:space="0" w:color="auto"/>
        <w:left w:val="none" w:sz="0" w:space="0" w:color="auto"/>
        <w:bottom w:val="none" w:sz="0" w:space="0" w:color="auto"/>
        <w:right w:val="none" w:sz="0" w:space="0" w:color="auto"/>
      </w:divBdr>
    </w:div>
    <w:div w:id="575088103">
      <w:bodyDiv w:val="1"/>
      <w:marLeft w:val="0"/>
      <w:marRight w:val="0"/>
      <w:marTop w:val="0"/>
      <w:marBottom w:val="0"/>
      <w:divBdr>
        <w:top w:val="none" w:sz="0" w:space="0" w:color="auto"/>
        <w:left w:val="none" w:sz="0" w:space="0" w:color="auto"/>
        <w:bottom w:val="none" w:sz="0" w:space="0" w:color="auto"/>
        <w:right w:val="none" w:sz="0" w:space="0" w:color="auto"/>
      </w:divBdr>
    </w:div>
    <w:div w:id="576674777">
      <w:bodyDiv w:val="1"/>
      <w:marLeft w:val="0"/>
      <w:marRight w:val="0"/>
      <w:marTop w:val="0"/>
      <w:marBottom w:val="0"/>
      <w:divBdr>
        <w:top w:val="none" w:sz="0" w:space="0" w:color="auto"/>
        <w:left w:val="none" w:sz="0" w:space="0" w:color="auto"/>
        <w:bottom w:val="none" w:sz="0" w:space="0" w:color="auto"/>
        <w:right w:val="none" w:sz="0" w:space="0" w:color="auto"/>
      </w:divBdr>
    </w:div>
    <w:div w:id="607658611">
      <w:bodyDiv w:val="1"/>
      <w:marLeft w:val="0"/>
      <w:marRight w:val="0"/>
      <w:marTop w:val="0"/>
      <w:marBottom w:val="0"/>
      <w:divBdr>
        <w:top w:val="none" w:sz="0" w:space="0" w:color="auto"/>
        <w:left w:val="none" w:sz="0" w:space="0" w:color="auto"/>
        <w:bottom w:val="none" w:sz="0" w:space="0" w:color="auto"/>
        <w:right w:val="none" w:sz="0" w:space="0" w:color="auto"/>
      </w:divBdr>
    </w:div>
    <w:div w:id="617640884">
      <w:bodyDiv w:val="1"/>
      <w:marLeft w:val="0"/>
      <w:marRight w:val="0"/>
      <w:marTop w:val="0"/>
      <w:marBottom w:val="0"/>
      <w:divBdr>
        <w:top w:val="none" w:sz="0" w:space="0" w:color="auto"/>
        <w:left w:val="none" w:sz="0" w:space="0" w:color="auto"/>
        <w:bottom w:val="none" w:sz="0" w:space="0" w:color="auto"/>
        <w:right w:val="none" w:sz="0" w:space="0" w:color="auto"/>
      </w:divBdr>
    </w:div>
    <w:div w:id="623803619">
      <w:bodyDiv w:val="1"/>
      <w:marLeft w:val="0"/>
      <w:marRight w:val="0"/>
      <w:marTop w:val="0"/>
      <w:marBottom w:val="0"/>
      <w:divBdr>
        <w:top w:val="none" w:sz="0" w:space="0" w:color="auto"/>
        <w:left w:val="none" w:sz="0" w:space="0" w:color="auto"/>
        <w:bottom w:val="none" w:sz="0" w:space="0" w:color="auto"/>
        <w:right w:val="none" w:sz="0" w:space="0" w:color="auto"/>
      </w:divBdr>
    </w:div>
    <w:div w:id="635570682">
      <w:bodyDiv w:val="1"/>
      <w:marLeft w:val="0"/>
      <w:marRight w:val="0"/>
      <w:marTop w:val="0"/>
      <w:marBottom w:val="0"/>
      <w:divBdr>
        <w:top w:val="none" w:sz="0" w:space="0" w:color="auto"/>
        <w:left w:val="none" w:sz="0" w:space="0" w:color="auto"/>
        <w:bottom w:val="none" w:sz="0" w:space="0" w:color="auto"/>
        <w:right w:val="none" w:sz="0" w:space="0" w:color="auto"/>
      </w:divBdr>
    </w:div>
    <w:div w:id="741296514">
      <w:bodyDiv w:val="1"/>
      <w:marLeft w:val="0"/>
      <w:marRight w:val="0"/>
      <w:marTop w:val="0"/>
      <w:marBottom w:val="0"/>
      <w:divBdr>
        <w:top w:val="none" w:sz="0" w:space="0" w:color="auto"/>
        <w:left w:val="none" w:sz="0" w:space="0" w:color="auto"/>
        <w:bottom w:val="none" w:sz="0" w:space="0" w:color="auto"/>
        <w:right w:val="none" w:sz="0" w:space="0" w:color="auto"/>
      </w:divBdr>
    </w:div>
    <w:div w:id="768160455">
      <w:bodyDiv w:val="1"/>
      <w:marLeft w:val="0"/>
      <w:marRight w:val="0"/>
      <w:marTop w:val="0"/>
      <w:marBottom w:val="0"/>
      <w:divBdr>
        <w:top w:val="none" w:sz="0" w:space="0" w:color="auto"/>
        <w:left w:val="none" w:sz="0" w:space="0" w:color="auto"/>
        <w:bottom w:val="none" w:sz="0" w:space="0" w:color="auto"/>
        <w:right w:val="none" w:sz="0" w:space="0" w:color="auto"/>
      </w:divBdr>
    </w:div>
    <w:div w:id="792597832">
      <w:bodyDiv w:val="1"/>
      <w:marLeft w:val="0"/>
      <w:marRight w:val="0"/>
      <w:marTop w:val="0"/>
      <w:marBottom w:val="0"/>
      <w:divBdr>
        <w:top w:val="none" w:sz="0" w:space="0" w:color="auto"/>
        <w:left w:val="none" w:sz="0" w:space="0" w:color="auto"/>
        <w:bottom w:val="none" w:sz="0" w:space="0" w:color="auto"/>
        <w:right w:val="none" w:sz="0" w:space="0" w:color="auto"/>
      </w:divBdr>
    </w:div>
    <w:div w:id="799034250">
      <w:bodyDiv w:val="1"/>
      <w:marLeft w:val="0"/>
      <w:marRight w:val="0"/>
      <w:marTop w:val="0"/>
      <w:marBottom w:val="0"/>
      <w:divBdr>
        <w:top w:val="none" w:sz="0" w:space="0" w:color="auto"/>
        <w:left w:val="none" w:sz="0" w:space="0" w:color="auto"/>
        <w:bottom w:val="none" w:sz="0" w:space="0" w:color="auto"/>
        <w:right w:val="none" w:sz="0" w:space="0" w:color="auto"/>
      </w:divBdr>
    </w:div>
    <w:div w:id="804473843">
      <w:bodyDiv w:val="1"/>
      <w:marLeft w:val="0"/>
      <w:marRight w:val="0"/>
      <w:marTop w:val="0"/>
      <w:marBottom w:val="0"/>
      <w:divBdr>
        <w:top w:val="none" w:sz="0" w:space="0" w:color="auto"/>
        <w:left w:val="none" w:sz="0" w:space="0" w:color="auto"/>
        <w:bottom w:val="none" w:sz="0" w:space="0" w:color="auto"/>
        <w:right w:val="none" w:sz="0" w:space="0" w:color="auto"/>
      </w:divBdr>
    </w:div>
    <w:div w:id="809980328">
      <w:bodyDiv w:val="1"/>
      <w:marLeft w:val="0"/>
      <w:marRight w:val="0"/>
      <w:marTop w:val="0"/>
      <w:marBottom w:val="0"/>
      <w:divBdr>
        <w:top w:val="none" w:sz="0" w:space="0" w:color="auto"/>
        <w:left w:val="none" w:sz="0" w:space="0" w:color="auto"/>
        <w:bottom w:val="none" w:sz="0" w:space="0" w:color="auto"/>
        <w:right w:val="none" w:sz="0" w:space="0" w:color="auto"/>
      </w:divBdr>
    </w:div>
    <w:div w:id="820199897">
      <w:bodyDiv w:val="1"/>
      <w:marLeft w:val="0"/>
      <w:marRight w:val="0"/>
      <w:marTop w:val="0"/>
      <w:marBottom w:val="0"/>
      <w:divBdr>
        <w:top w:val="none" w:sz="0" w:space="0" w:color="auto"/>
        <w:left w:val="none" w:sz="0" w:space="0" w:color="auto"/>
        <w:bottom w:val="none" w:sz="0" w:space="0" w:color="auto"/>
        <w:right w:val="none" w:sz="0" w:space="0" w:color="auto"/>
      </w:divBdr>
    </w:div>
    <w:div w:id="841891916">
      <w:bodyDiv w:val="1"/>
      <w:marLeft w:val="0"/>
      <w:marRight w:val="0"/>
      <w:marTop w:val="0"/>
      <w:marBottom w:val="0"/>
      <w:divBdr>
        <w:top w:val="none" w:sz="0" w:space="0" w:color="auto"/>
        <w:left w:val="none" w:sz="0" w:space="0" w:color="auto"/>
        <w:bottom w:val="none" w:sz="0" w:space="0" w:color="auto"/>
        <w:right w:val="none" w:sz="0" w:space="0" w:color="auto"/>
      </w:divBdr>
    </w:div>
    <w:div w:id="907810255">
      <w:bodyDiv w:val="1"/>
      <w:marLeft w:val="0"/>
      <w:marRight w:val="0"/>
      <w:marTop w:val="0"/>
      <w:marBottom w:val="0"/>
      <w:divBdr>
        <w:top w:val="none" w:sz="0" w:space="0" w:color="auto"/>
        <w:left w:val="none" w:sz="0" w:space="0" w:color="auto"/>
        <w:bottom w:val="none" w:sz="0" w:space="0" w:color="auto"/>
        <w:right w:val="none" w:sz="0" w:space="0" w:color="auto"/>
      </w:divBdr>
    </w:div>
    <w:div w:id="962886325">
      <w:bodyDiv w:val="1"/>
      <w:marLeft w:val="0"/>
      <w:marRight w:val="0"/>
      <w:marTop w:val="0"/>
      <w:marBottom w:val="0"/>
      <w:divBdr>
        <w:top w:val="none" w:sz="0" w:space="0" w:color="auto"/>
        <w:left w:val="none" w:sz="0" w:space="0" w:color="auto"/>
        <w:bottom w:val="none" w:sz="0" w:space="0" w:color="auto"/>
        <w:right w:val="none" w:sz="0" w:space="0" w:color="auto"/>
      </w:divBdr>
    </w:div>
    <w:div w:id="1001087061">
      <w:bodyDiv w:val="1"/>
      <w:marLeft w:val="0"/>
      <w:marRight w:val="0"/>
      <w:marTop w:val="0"/>
      <w:marBottom w:val="0"/>
      <w:divBdr>
        <w:top w:val="none" w:sz="0" w:space="0" w:color="auto"/>
        <w:left w:val="none" w:sz="0" w:space="0" w:color="auto"/>
        <w:bottom w:val="none" w:sz="0" w:space="0" w:color="auto"/>
        <w:right w:val="none" w:sz="0" w:space="0" w:color="auto"/>
      </w:divBdr>
    </w:div>
    <w:div w:id="1014186142">
      <w:bodyDiv w:val="1"/>
      <w:marLeft w:val="0"/>
      <w:marRight w:val="0"/>
      <w:marTop w:val="0"/>
      <w:marBottom w:val="0"/>
      <w:divBdr>
        <w:top w:val="none" w:sz="0" w:space="0" w:color="auto"/>
        <w:left w:val="none" w:sz="0" w:space="0" w:color="auto"/>
        <w:bottom w:val="none" w:sz="0" w:space="0" w:color="auto"/>
        <w:right w:val="none" w:sz="0" w:space="0" w:color="auto"/>
      </w:divBdr>
    </w:div>
    <w:div w:id="1017317686">
      <w:bodyDiv w:val="1"/>
      <w:marLeft w:val="0"/>
      <w:marRight w:val="0"/>
      <w:marTop w:val="0"/>
      <w:marBottom w:val="0"/>
      <w:divBdr>
        <w:top w:val="none" w:sz="0" w:space="0" w:color="auto"/>
        <w:left w:val="none" w:sz="0" w:space="0" w:color="auto"/>
        <w:bottom w:val="none" w:sz="0" w:space="0" w:color="auto"/>
        <w:right w:val="none" w:sz="0" w:space="0" w:color="auto"/>
      </w:divBdr>
    </w:div>
    <w:div w:id="1040278739">
      <w:bodyDiv w:val="1"/>
      <w:marLeft w:val="0"/>
      <w:marRight w:val="0"/>
      <w:marTop w:val="0"/>
      <w:marBottom w:val="0"/>
      <w:divBdr>
        <w:top w:val="none" w:sz="0" w:space="0" w:color="auto"/>
        <w:left w:val="none" w:sz="0" w:space="0" w:color="auto"/>
        <w:bottom w:val="none" w:sz="0" w:space="0" w:color="auto"/>
        <w:right w:val="none" w:sz="0" w:space="0" w:color="auto"/>
      </w:divBdr>
    </w:div>
    <w:div w:id="1056011058">
      <w:bodyDiv w:val="1"/>
      <w:marLeft w:val="0"/>
      <w:marRight w:val="0"/>
      <w:marTop w:val="0"/>
      <w:marBottom w:val="0"/>
      <w:divBdr>
        <w:top w:val="none" w:sz="0" w:space="0" w:color="auto"/>
        <w:left w:val="none" w:sz="0" w:space="0" w:color="auto"/>
        <w:bottom w:val="none" w:sz="0" w:space="0" w:color="auto"/>
        <w:right w:val="none" w:sz="0" w:space="0" w:color="auto"/>
      </w:divBdr>
    </w:div>
    <w:div w:id="1056129506">
      <w:bodyDiv w:val="1"/>
      <w:marLeft w:val="0"/>
      <w:marRight w:val="0"/>
      <w:marTop w:val="0"/>
      <w:marBottom w:val="0"/>
      <w:divBdr>
        <w:top w:val="none" w:sz="0" w:space="0" w:color="auto"/>
        <w:left w:val="none" w:sz="0" w:space="0" w:color="auto"/>
        <w:bottom w:val="none" w:sz="0" w:space="0" w:color="auto"/>
        <w:right w:val="none" w:sz="0" w:space="0" w:color="auto"/>
      </w:divBdr>
    </w:div>
    <w:div w:id="1135560287">
      <w:bodyDiv w:val="1"/>
      <w:marLeft w:val="0"/>
      <w:marRight w:val="0"/>
      <w:marTop w:val="0"/>
      <w:marBottom w:val="0"/>
      <w:divBdr>
        <w:top w:val="none" w:sz="0" w:space="0" w:color="auto"/>
        <w:left w:val="none" w:sz="0" w:space="0" w:color="auto"/>
        <w:bottom w:val="none" w:sz="0" w:space="0" w:color="auto"/>
        <w:right w:val="none" w:sz="0" w:space="0" w:color="auto"/>
      </w:divBdr>
    </w:div>
    <w:div w:id="1165974149">
      <w:bodyDiv w:val="1"/>
      <w:marLeft w:val="0"/>
      <w:marRight w:val="0"/>
      <w:marTop w:val="0"/>
      <w:marBottom w:val="0"/>
      <w:divBdr>
        <w:top w:val="none" w:sz="0" w:space="0" w:color="auto"/>
        <w:left w:val="none" w:sz="0" w:space="0" w:color="auto"/>
        <w:bottom w:val="none" w:sz="0" w:space="0" w:color="auto"/>
        <w:right w:val="none" w:sz="0" w:space="0" w:color="auto"/>
      </w:divBdr>
    </w:div>
    <w:div w:id="1237519693">
      <w:bodyDiv w:val="1"/>
      <w:marLeft w:val="0"/>
      <w:marRight w:val="0"/>
      <w:marTop w:val="0"/>
      <w:marBottom w:val="0"/>
      <w:divBdr>
        <w:top w:val="none" w:sz="0" w:space="0" w:color="auto"/>
        <w:left w:val="none" w:sz="0" w:space="0" w:color="auto"/>
        <w:bottom w:val="none" w:sz="0" w:space="0" w:color="auto"/>
        <w:right w:val="none" w:sz="0" w:space="0" w:color="auto"/>
      </w:divBdr>
    </w:div>
    <w:div w:id="1248685020">
      <w:bodyDiv w:val="1"/>
      <w:marLeft w:val="0"/>
      <w:marRight w:val="0"/>
      <w:marTop w:val="0"/>
      <w:marBottom w:val="0"/>
      <w:divBdr>
        <w:top w:val="none" w:sz="0" w:space="0" w:color="auto"/>
        <w:left w:val="none" w:sz="0" w:space="0" w:color="auto"/>
        <w:bottom w:val="none" w:sz="0" w:space="0" w:color="auto"/>
        <w:right w:val="none" w:sz="0" w:space="0" w:color="auto"/>
      </w:divBdr>
    </w:div>
    <w:div w:id="1274095912">
      <w:bodyDiv w:val="1"/>
      <w:marLeft w:val="0"/>
      <w:marRight w:val="0"/>
      <w:marTop w:val="0"/>
      <w:marBottom w:val="0"/>
      <w:divBdr>
        <w:top w:val="none" w:sz="0" w:space="0" w:color="auto"/>
        <w:left w:val="none" w:sz="0" w:space="0" w:color="auto"/>
        <w:bottom w:val="none" w:sz="0" w:space="0" w:color="auto"/>
        <w:right w:val="none" w:sz="0" w:space="0" w:color="auto"/>
      </w:divBdr>
    </w:div>
    <w:div w:id="1279293400">
      <w:bodyDiv w:val="1"/>
      <w:marLeft w:val="0"/>
      <w:marRight w:val="0"/>
      <w:marTop w:val="0"/>
      <w:marBottom w:val="0"/>
      <w:divBdr>
        <w:top w:val="none" w:sz="0" w:space="0" w:color="auto"/>
        <w:left w:val="none" w:sz="0" w:space="0" w:color="auto"/>
        <w:bottom w:val="none" w:sz="0" w:space="0" w:color="auto"/>
        <w:right w:val="none" w:sz="0" w:space="0" w:color="auto"/>
      </w:divBdr>
    </w:div>
    <w:div w:id="1321618761">
      <w:bodyDiv w:val="1"/>
      <w:marLeft w:val="0"/>
      <w:marRight w:val="0"/>
      <w:marTop w:val="0"/>
      <w:marBottom w:val="0"/>
      <w:divBdr>
        <w:top w:val="none" w:sz="0" w:space="0" w:color="auto"/>
        <w:left w:val="none" w:sz="0" w:space="0" w:color="auto"/>
        <w:bottom w:val="none" w:sz="0" w:space="0" w:color="auto"/>
        <w:right w:val="none" w:sz="0" w:space="0" w:color="auto"/>
      </w:divBdr>
    </w:div>
    <w:div w:id="1325356535">
      <w:bodyDiv w:val="1"/>
      <w:marLeft w:val="0"/>
      <w:marRight w:val="0"/>
      <w:marTop w:val="0"/>
      <w:marBottom w:val="0"/>
      <w:divBdr>
        <w:top w:val="none" w:sz="0" w:space="0" w:color="auto"/>
        <w:left w:val="none" w:sz="0" w:space="0" w:color="auto"/>
        <w:bottom w:val="none" w:sz="0" w:space="0" w:color="auto"/>
        <w:right w:val="none" w:sz="0" w:space="0" w:color="auto"/>
      </w:divBdr>
    </w:div>
    <w:div w:id="1414820980">
      <w:bodyDiv w:val="1"/>
      <w:marLeft w:val="0"/>
      <w:marRight w:val="0"/>
      <w:marTop w:val="0"/>
      <w:marBottom w:val="0"/>
      <w:divBdr>
        <w:top w:val="none" w:sz="0" w:space="0" w:color="auto"/>
        <w:left w:val="none" w:sz="0" w:space="0" w:color="auto"/>
        <w:bottom w:val="none" w:sz="0" w:space="0" w:color="auto"/>
        <w:right w:val="none" w:sz="0" w:space="0" w:color="auto"/>
      </w:divBdr>
    </w:div>
    <w:div w:id="1415928640">
      <w:bodyDiv w:val="1"/>
      <w:marLeft w:val="0"/>
      <w:marRight w:val="0"/>
      <w:marTop w:val="0"/>
      <w:marBottom w:val="0"/>
      <w:divBdr>
        <w:top w:val="none" w:sz="0" w:space="0" w:color="auto"/>
        <w:left w:val="none" w:sz="0" w:space="0" w:color="auto"/>
        <w:bottom w:val="none" w:sz="0" w:space="0" w:color="auto"/>
        <w:right w:val="none" w:sz="0" w:space="0" w:color="auto"/>
      </w:divBdr>
    </w:div>
    <w:div w:id="1451898392">
      <w:bodyDiv w:val="1"/>
      <w:marLeft w:val="0"/>
      <w:marRight w:val="0"/>
      <w:marTop w:val="0"/>
      <w:marBottom w:val="0"/>
      <w:divBdr>
        <w:top w:val="none" w:sz="0" w:space="0" w:color="auto"/>
        <w:left w:val="none" w:sz="0" w:space="0" w:color="auto"/>
        <w:bottom w:val="none" w:sz="0" w:space="0" w:color="auto"/>
        <w:right w:val="none" w:sz="0" w:space="0" w:color="auto"/>
      </w:divBdr>
    </w:div>
    <w:div w:id="1483934890">
      <w:bodyDiv w:val="1"/>
      <w:marLeft w:val="0"/>
      <w:marRight w:val="0"/>
      <w:marTop w:val="0"/>
      <w:marBottom w:val="0"/>
      <w:divBdr>
        <w:top w:val="none" w:sz="0" w:space="0" w:color="auto"/>
        <w:left w:val="none" w:sz="0" w:space="0" w:color="auto"/>
        <w:bottom w:val="none" w:sz="0" w:space="0" w:color="auto"/>
        <w:right w:val="none" w:sz="0" w:space="0" w:color="auto"/>
      </w:divBdr>
    </w:div>
    <w:div w:id="1498568161">
      <w:bodyDiv w:val="1"/>
      <w:marLeft w:val="0"/>
      <w:marRight w:val="0"/>
      <w:marTop w:val="0"/>
      <w:marBottom w:val="0"/>
      <w:divBdr>
        <w:top w:val="none" w:sz="0" w:space="0" w:color="auto"/>
        <w:left w:val="none" w:sz="0" w:space="0" w:color="auto"/>
        <w:bottom w:val="none" w:sz="0" w:space="0" w:color="auto"/>
        <w:right w:val="none" w:sz="0" w:space="0" w:color="auto"/>
      </w:divBdr>
    </w:div>
    <w:div w:id="1559244123">
      <w:bodyDiv w:val="1"/>
      <w:marLeft w:val="0"/>
      <w:marRight w:val="0"/>
      <w:marTop w:val="0"/>
      <w:marBottom w:val="0"/>
      <w:divBdr>
        <w:top w:val="none" w:sz="0" w:space="0" w:color="auto"/>
        <w:left w:val="none" w:sz="0" w:space="0" w:color="auto"/>
        <w:bottom w:val="none" w:sz="0" w:space="0" w:color="auto"/>
        <w:right w:val="none" w:sz="0" w:space="0" w:color="auto"/>
      </w:divBdr>
    </w:div>
    <w:div w:id="1612206766">
      <w:bodyDiv w:val="1"/>
      <w:marLeft w:val="0"/>
      <w:marRight w:val="0"/>
      <w:marTop w:val="0"/>
      <w:marBottom w:val="0"/>
      <w:divBdr>
        <w:top w:val="none" w:sz="0" w:space="0" w:color="auto"/>
        <w:left w:val="none" w:sz="0" w:space="0" w:color="auto"/>
        <w:bottom w:val="none" w:sz="0" w:space="0" w:color="auto"/>
        <w:right w:val="none" w:sz="0" w:space="0" w:color="auto"/>
      </w:divBdr>
    </w:div>
    <w:div w:id="1612516353">
      <w:bodyDiv w:val="1"/>
      <w:marLeft w:val="0"/>
      <w:marRight w:val="0"/>
      <w:marTop w:val="0"/>
      <w:marBottom w:val="0"/>
      <w:divBdr>
        <w:top w:val="none" w:sz="0" w:space="0" w:color="auto"/>
        <w:left w:val="none" w:sz="0" w:space="0" w:color="auto"/>
        <w:bottom w:val="none" w:sz="0" w:space="0" w:color="auto"/>
        <w:right w:val="none" w:sz="0" w:space="0" w:color="auto"/>
      </w:divBdr>
    </w:div>
    <w:div w:id="1632982159">
      <w:bodyDiv w:val="1"/>
      <w:marLeft w:val="0"/>
      <w:marRight w:val="0"/>
      <w:marTop w:val="0"/>
      <w:marBottom w:val="0"/>
      <w:divBdr>
        <w:top w:val="none" w:sz="0" w:space="0" w:color="auto"/>
        <w:left w:val="none" w:sz="0" w:space="0" w:color="auto"/>
        <w:bottom w:val="none" w:sz="0" w:space="0" w:color="auto"/>
        <w:right w:val="none" w:sz="0" w:space="0" w:color="auto"/>
      </w:divBdr>
    </w:div>
    <w:div w:id="1682707809">
      <w:bodyDiv w:val="1"/>
      <w:marLeft w:val="0"/>
      <w:marRight w:val="0"/>
      <w:marTop w:val="0"/>
      <w:marBottom w:val="0"/>
      <w:divBdr>
        <w:top w:val="none" w:sz="0" w:space="0" w:color="auto"/>
        <w:left w:val="none" w:sz="0" w:space="0" w:color="auto"/>
        <w:bottom w:val="none" w:sz="0" w:space="0" w:color="auto"/>
        <w:right w:val="none" w:sz="0" w:space="0" w:color="auto"/>
      </w:divBdr>
    </w:div>
    <w:div w:id="1687513978">
      <w:bodyDiv w:val="1"/>
      <w:marLeft w:val="0"/>
      <w:marRight w:val="0"/>
      <w:marTop w:val="0"/>
      <w:marBottom w:val="0"/>
      <w:divBdr>
        <w:top w:val="none" w:sz="0" w:space="0" w:color="auto"/>
        <w:left w:val="none" w:sz="0" w:space="0" w:color="auto"/>
        <w:bottom w:val="none" w:sz="0" w:space="0" w:color="auto"/>
        <w:right w:val="none" w:sz="0" w:space="0" w:color="auto"/>
      </w:divBdr>
    </w:div>
    <w:div w:id="1691372213">
      <w:bodyDiv w:val="1"/>
      <w:marLeft w:val="0"/>
      <w:marRight w:val="0"/>
      <w:marTop w:val="0"/>
      <w:marBottom w:val="0"/>
      <w:divBdr>
        <w:top w:val="none" w:sz="0" w:space="0" w:color="auto"/>
        <w:left w:val="none" w:sz="0" w:space="0" w:color="auto"/>
        <w:bottom w:val="none" w:sz="0" w:space="0" w:color="auto"/>
        <w:right w:val="none" w:sz="0" w:space="0" w:color="auto"/>
      </w:divBdr>
    </w:div>
    <w:div w:id="1744251236">
      <w:bodyDiv w:val="1"/>
      <w:marLeft w:val="0"/>
      <w:marRight w:val="0"/>
      <w:marTop w:val="0"/>
      <w:marBottom w:val="0"/>
      <w:divBdr>
        <w:top w:val="none" w:sz="0" w:space="0" w:color="auto"/>
        <w:left w:val="none" w:sz="0" w:space="0" w:color="auto"/>
        <w:bottom w:val="none" w:sz="0" w:space="0" w:color="auto"/>
        <w:right w:val="none" w:sz="0" w:space="0" w:color="auto"/>
      </w:divBdr>
    </w:div>
    <w:div w:id="1762798872">
      <w:bodyDiv w:val="1"/>
      <w:marLeft w:val="0"/>
      <w:marRight w:val="0"/>
      <w:marTop w:val="0"/>
      <w:marBottom w:val="0"/>
      <w:divBdr>
        <w:top w:val="none" w:sz="0" w:space="0" w:color="auto"/>
        <w:left w:val="none" w:sz="0" w:space="0" w:color="auto"/>
        <w:bottom w:val="none" w:sz="0" w:space="0" w:color="auto"/>
        <w:right w:val="none" w:sz="0" w:space="0" w:color="auto"/>
      </w:divBdr>
    </w:div>
    <w:div w:id="1792237841">
      <w:bodyDiv w:val="1"/>
      <w:marLeft w:val="0"/>
      <w:marRight w:val="0"/>
      <w:marTop w:val="0"/>
      <w:marBottom w:val="0"/>
      <w:divBdr>
        <w:top w:val="none" w:sz="0" w:space="0" w:color="auto"/>
        <w:left w:val="none" w:sz="0" w:space="0" w:color="auto"/>
        <w:bottom w:val="none" w:sz="0" w:space="0" w:color="auto"/>
        <w:right w:val="none" w:sz="0" w:space="0" w:color="auto"/>
      </w:divBdr>
    </w:div>
    <w:div w:id="1798373742">
      <w:bodyDiv w:val="1"/>
      <w:marLeft w:val="0"/>
      <w:marRight w:val="0"/>
      <w:marTop w:val="0"/>
      <w:marBottom w:val="0"/>
      <w:divBdr>
        <w:top w:val="none" w:sz="0" w:space="0" w:color="auto"/>
        <w:left w:val="none" w:sz="0" w:space="0" w:color="auto"/>
        <w:bottom w:val="none" w:sz="0" w:space="0" w:color="auto"/>
        <w:right w:val="none" w:sz="0" w:space="0" w:color="auto"/>
      </w:divBdr>
    </w:div>
    <w:div w:id="1800294031">
      <w:bodyDiv w:val="1"/>
      <w:marLeft w:val="0"/>
      <w:marRight w:val="0"/>
      <w:marTop w:val="0"/>
      <w:marBottom w:val="0"/>
      <w:divBdr>
        <w:top w:val="none" w:sz="0" w:space="0" w:color="auto"/>
        <w:left w:val="none" w:sz="0" w:space="0" w:color="auto"/>
        <w:bottom w:val="none" w:sz="0" w:space="0" w:color="auto"/>
        <w:right w:val="none" w:sz="0" w:space="0" w:color="auto"/>
      </w:divBdr>
    </w:div>
    <w:div w:id="1818960607">
      <w:bodyDiv w:val="1"/>
      <w:marLeft w:val="0"/>
      <w:marRight w:val="0"/>
      <w:marTop w:val="0"/>
      <w:marBottom w:val="0"/>
      <w:divBdr>
        <w:top w:val="none" w:sz="0" w:space="0" w:color="auto"/>
        <w:left w:val="none" w:sz="0" w:space="0" w:color="auto"/>
        <w:bottom w:val="none" w:sz="0" w:space="0" w:color="auto"/>
        <w:right w:val="none" w:sz="0" w:space="0" w:color="auto"/>
      </w:divBdr>
    </w:div>
    <w:div w:id="1828591252">
      <w:bodyDiv w:val="1"/>
      <w:marLeft w:val="0"/>
      <w:marRight w:val="0"/>
      <w:marTop w:val="0"/>
      <w:marBottom w:val="0"/>
      <w:divBdr>
        <w:top w:val="none" w:sz="0" w:space="0" w:color="auto"/>
        <w:left w:val="none" w:sz="0" w:space="0" w:color="auto"/>
        <w:bottom w:val="none" w:sz="0" w:space="0" w:color="auto"/>
        <w:right w:val="none" w:sz="0" w:space="0" w:color="auto"/>
      </w:divBdr>
    </w:div>
    <w:div w:id="1878200633">
      <w:bodyDiv w:val="1"/>
      <w:marLeft w:val="0"/>
      <w:marRight w:val="0"/>
      <w:marTop w:val="0"/>
      <w:marBottom w:val="0"/>
      <w:divBdr>
        <w:top w:val="none" w:sz="0" w:space="0" w:color="auto"/>
        <w:left w:val="none" w:sz="0" w:space="0" w:color="auto"/>
        <w:bottom w:val="none" w:sz="0" w:space="0" w:color="auto"/>
        <w:right w:val="none" w:sz="0" w:space="0" w:color="auto"/>
      </w:divBdr>
    </w:div>
    <w:div w:id="1898396606">
      <w:bodyDiv w:val="1"/>
      <w:marLeft w:val="0"/>
      <w:marRight w:val="0"/>
      <w:marTop w:val="0"/>
      <w:marBottom w:val="0"/>
      <w:divBdr>
        <w:top w:val="none" w:sz="0" w:space="0" w:color="auto"/>
        <w:left w:val="none" w:sz="0" w:space="0" w:color="auto"/>
        <w:bottom w:val="none" w:sz="0" w:space="0" w:color="auto"/>
        <w:right w:val="none" w:sz="0" w:space="0" w:color="auto"/>
      </w:divBdr>
    </w:div>
    <w:div w:id="1905797452">
      <w:bodyDiv w:val="1"/>
      <w:marLeft w:val="0"/>
      <w:marRight w:val="0"/>
      <w:marTop w:val="0"/>
      <w:marBottom w:val="0"/>
      <w:divBdr>
        <w:top w:val="none" w:sz="0" w:space="0" w:color="auto"/>
        <w:left w:val="none" w:sz="0" w:space="0" w:color="auto"/>
        <w:bottom w:val="none" w:sz="0" w:space="0" w:color="auto"/>
        <w:right w:val="none" w:sz="0" w:space="0" w:color="auto"/>
      </w:divBdr>
    </w:div>
    <w:div w:id="1923951884">
      <w:bodyDiv w:val="1"/>
      <w:marLeft w:val="0"/>
      <w:marRight w:val="0"/>
      <w:marTop w:val="0"/>
      <w:marBottom w:val="0"/>
      <w:divBdr>
        <w:top w:val="none" w:sz="0" w:space="0" w:color="auto"/>
        <w:left w:val="none" w:sz="0" w:space="0" w:color="auto"/>
        <w:bottom w:val="none" w:sz="0" w:space="0" w:color="auto"/>
        <w:right w:val="none" w:sz="0" w:space="0" w:color="auto"/>
      </w:divBdr>
    </w:div>
    <w:div w:id="1928272049">
      <w:bodyDiv w:val="1"/>
      <w:marLeft w:val="0"/>
      <w:marRight w:val="0"/>
      <w:marTop w:val="0"/>
      <w:marBottom w:val="0"/>
      <w:divBdr>
        <w:top w:val="none" w:sz="0" w:space="0" w:color="auto"/>
        <w:left w:val="none" w:sz="0" w:space="0" w:color="auto"/>
        <w:bottom w:val="none" w:sz="0" w:space="0" w:color="auto"/>
        <w:right w:val="none" w:sz="0" w:space="0" w:color="auto"/>
      </w:divBdr>
    </w:div>
    <w:div w:id="1947034301">
      <w:bodyDiv w:val="1"/>
      <w:marLeft w:val="0"/>
      <w:marRight w:val="0"/>
      <w:marTop w:val="0"/>
      <w:marBottom w:val="0"/>
      <w:divBdr>
        <w:top w:val="none" w:sz="0" w:space="0" w:color="auto"/>
        <w:left w:val="none" w:sz="0" w:space="0" w:color="auto"/>
        <w:bottom w:val="none" w:sz="0" w:space="0" w:color="auto"/>
        <w:right w:val="none" w:sz="0" w:space="0" w:color="auto"/>
      </w:divBdr>
    </w:div>
    <w:div w:id="2044010662">
      <w:bodyDiv w:val="1"/>
      <w:marLeft w:val="0"/>
      <w:marRight w:val="0"/>
      <w:marTop w:val="0"/>
      <w:marBottom w:val="0"/>
      <w:divBdr>
        <w:top w:val="none" w:sz="0" w:space="0" w:color="auto"/>
        <w:left w:val="none" w:sz="0" w:space="0" w:color="auto"/>
        <w:bottom w:val="none" w:sz="0" w:space="0" w:color="auto"/>
        <w:right w:val="none" w:sz="0" w:space="0" w:color="auto"/>
      </w:divBdr>
    </w:div>
    <w:div w:id="2052920826">
      <w:bodyDiv w:val="1"/>
      <w:marLeft w:val="0"/>
      <w:marRight w:val="0"/>
      <w:marTop w:val="0"/>
      <w:marBottom w:val="0"/>
      <w:divBdr>
        <w:top w:val="none" w:sz="0" w:space="0" w:color="auto"/>
        <w:left w:val="none" w:sz="0" w:space="0" w:color="auto"/>
        <w:bottom w:val="none" w:sz="0" w:space="0" w:color="auto"/>
        <w:right w:val="none" w:sz="0" w:space="0" w:color="auto"/>
      </w:divBdr>
    </w:div>
    <w:div w:id="2055499746">
      <w:bodyDiv w:val="1"/>
      <w:marLeft w:val="0"/>
      <w:marRight w:val="0"/>
      <w:marTop w:val="0"/>
      <w:marBottom w:val="0"/>
      <w:divBdr>
        <w:top w:val="none" w:sz="0" w:space="0" w:color="auto"/>
        <w:left w:val="none" w:sz="0" w:space="0" w:color="auto"/>
        <w:bottom w:val="none" w:sz="0" w:space="0" w:color="auto"/>
        <w:right w:val="none" w:sz="0" w:space="0" w:color="auto"/>
      </w:divBdr>
    </w:div>
    <w:div w:id="2073968845">
      <w:bodyDiv w:val="1"/>
      <w:marLeft w:val="0"/>
      <w:marRight w:val="0"/>
      <w:marTop w:val="0"/>
      <w:marBottom w:val="0"/>
      <w:divBdr>
        <w:top w:val="none" w:sz="0" w:space="0" w:color="auto"/>
        <w:left w:val="none" w:sz="0" w:space="0" w:color="auto"/>
        <w:bottom w:val="none" w:sz="0" w:space="0" w:color="auto"/>
        <w:right w:val="none" w:sz="0" w:space="0" w:color="auto"/>
      </w:divBdr>
    </w:div>
    <w:div w:id="210561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F@commerce.wa.gov" TargetMode="External"/><Relationship Id="rId13" Type="http://schemas.openxmlformats.org/officeDocument/2006/relationships/hyperlink" Target="mailto:Kelly.desy@chargepoint.com" TargetMode="External"/><Relationship Id="rId18" Type="http://schemas.openxmlformats.org/officeDocument/2006/relationships/hyperlink" Target="mailto:MiChargeCommunity@gmail.com" TargetMode="External"/><Relationship Id="rId26" Type="http://schemas.openxmlformats.org/officeDocument/2006/relationships/hyperlink" Target="https://www.commerce.wa.gov/growing-the-economy/energy/clean-energy-fund" TargetMode="External"/><Relationship Id="rId3" Type="http://schemas.openxmlformats.org/officeDocument/2006/relationships/styles" Target="styles.xml"/><Relationship Id="rId21" Type="http://schemas.openxmlformats.org/officeDocument/2006/relationships/hyperlink" Target="mailto:Bob.Kirchmeier@commerce.wa.gov" TargetMode="External"/><Relationship Id="rId7" Type="http://schemas.openxmlformats.org/officeDocument/2006/relationships/endnotes" Target="endnotes.xml"/><Relationship Id="rId12" Type="http://schemas.openxmlformats.org/officeDocument/2006/relationships/hyperlink" Target="mailto:John.schott@chargepoint.com" TargetMode="External"/><Relationship Id="rId17" Type="http://schemas.openxmlformats.org/officeDocument/2006/relationships/hyperlink" Target="mailto:Bunnye50@msn.com" TargetMode="External"/><Relationship Id="rId25" Type="http://schemas.openxmlformats.org/officeDocument/2006/relationships/hyperlink" Target="https://www.epa.gov/sites/production/files/2018-12/documents/fy19-priority-county-list-2018-12-7.pdf" TargetMode="External"/><Relationship Id="rId2" Type="http://schemas.openxmlformats.org/officeDocument/2006/relationships/numbering" Target="numbering.xml"/><Relationship Id="rId16" Type="http://schemas.openxmlformats.org/officeDocument/2006/relationships/hyperlink" Target="mailto:Forrestj@co.skagit.wa.us" TargetMode="External"/><Relationship Id="rId20" Type="http://schemas.openxmlformats.org/officeDocument/2006/relationships/hyperlink" Target="mailto:ewilson@wahkiakumpud.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udy@lemaymarymount.org" TargetMode="External"/><Relationship Id="rId24" Type="http://schemas.openxmlformats.org/officeDocument/2006/relationships/hyperlink" Target="mailto:CEF@commerce.wa.gov" TargetMode="External"/><Relationship Id="rId5" Type="http://schemas.openxmlformats.org/officeDocument/2006/relationships/webSettings" Target="webSettings.xml"/><Relationship Id="rId15" Type="http://schemas.openxmlformats.org/officeDocument/2006/relationships/hyperlink" Target="mailto:danb@co.skagit.wa.us" TargetMode="External"/><Relationship Id="rId23" Type="http://schemas.openxmlformats.org/officeDocument/2006/relationships/hyperlink" Target="https://commerce.wa.gov/ets" TargetMode="External"/><Relationship Id="rId28" Type="http://schemas.openxmlformats.org/officeDocument/2006/relationships/header" Target="header1.xml"/><Relationship Id="rId10" Type="http://schemas.openxmlformats.org/officeDocument/2006/relationships/hyperlink" Target="mailto:rrowe@co.skagit.wa.us" TargetMode="External"/><Relationship Id="rId19" Type="http://schemas.openxmlformats.org/officeDocument/2006/relationships/hyperlink" Target="mailto:Michael@cyanstrategie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uss@cityofanacortes.org" TargetMode="External"/><Relationship Id="rId14" Type="http://schemas.openxmlformats.org/officeDocument/2006/relationships/hyperlink" Target="mailto:Matthew.egan.@chargepoint.com" TargetMode="External"/><Relationship Id="rId22" Type="http://schemas.openxmlformats.org/officeDocument/2006/relationships/hyperlink" Target="https://www.commerce.wa.gov/growing-the-economy/energy/clean-energy-fund/electrification-of-transportation/" TargetMode="External"/><Relationship Id="rId27" Type="http://schemas.openxmlformats.org/officeDocument/2006/relationships/hyperlink" Target="https://commerce.wa.gov/et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46FD-5A2C-4DB4-9776-016142CE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35</Pages>
  <Words>14677</Words>
  <Characters>83660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98141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Forrest (COM)</dc:creator>
  <cp:keywords/>
  <dc:description/>
  <cp:lastModifiedBy>Watkins, Forrest (COM)</cp:lastModifiedBy>
  <cp:revision>19</cp:revision>
  <dcterms:created xsi:type="dcterms:W3CDTF">2020-04-07T16:45:00Z</dcterms:created>
  <dcterms:modified xsi:type="dcterms:W3CDTF">2020-04-28T22:53:00Z</dcterms:modified>
</cp:coreProperties>
</file>