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77B" w:rsidRPr="0056477B" w:rsidRDefault="0056477B" w:rsidP="0056477B">
      <w:pPr>
        <w:autoSpaceDE w:val="0"/>
        <w:autoSpaceDN w:val="0"/>
        <w:adjustRightInd w:val="0"/>
        <w:snapToGrid w:val="0"/>
        <w:spacing w:after="0" w:line="240" w:lineRule="auto"/>
        <w:jc w:val="center"/>
        <w:rPr>
          <w:rFonts w:eastAsia="Times New Roman" w:cstheme="minorHAnsi"/>
          <w:b/>
          <w:color w:val="000000"/>
          <w:u w:val="single"/>
        </w:rPr>
      </w:pPr>
      <w:r w:rsidRPr="0056477B">
        <w:rPr>
          <w:rFonts w:eastAsia="Times New Roman" w:cstheme="minorHAnsi"/>
          <w:b/>
          <w:color w:val="000000"/>
          <w:u w:val="single"/>
        </w:rPr>
        <w:t>Background information</w:t>
      </w:r>
      <w:r>
        <w:rPr>
          <w:rFonts w:eastAsia="Times New Roman" w:cstheme="minorHAnsi"/>
          <w:b/>
          <w:color w:val="000000"/>
          <w:u w:val="single"/>
        </w:rPr>
        <w:t xml:space="preserve"> for 8/22/19 discussion of social cost of greenhouse gas emissions</w:t>
      </w:r>
    </w:p>
    <w:p w:rsidR="0056477B" w:rsidRPr="0056477B" w:rsidRDefault="0056477B" w:rsidP="00EF726F">
      <w:pPr>
        <w:autoSpaceDE w:val="0"/>
        <w:autoSpaceDN w:val="0"/>
        <w:adjustRightInd w:val="0"/>
        <w:snapToGrid w:val="0"/>
        <w:spacing w:after="0" w:line="240" w:lineRule="auto"/>
        <w:rPr>
          <w:rFonts w:eastAsia="Times New Roman" w:cstheme="minorHAnsi"/>
          <w:b/>
          <w:color w:val="000000"/>
          <w:lang w:val="x-none"/>
        </w:rPr>
      </w:pPr>
    </w:p>
    <w:p w:rsidR="00EF726F" w:rsidRPr="0056477B" w:rsidRDefault="00EF726F" w:rsidP="00EF726F">
      <w:pPr>
        <w:autoSpaceDE w:val="0"/>
        <w:autoSpaceDN w:val="0"/>
        <w:adjustRightInd w:val="0"/>
        <w:snapToGrid w:val="0"/>
        <w:spacing w:after="0" w:line="240" w:lineRule="auto"/>
        <w:rPr>
          <w:rFonts w:eastAsia="Times New Roman" w:cstheme="minorHAnsi"/>
          <w:color w:val="000000"/>
          <w:lang w:val="x-none"/>
        </w:rPr>
      </w:pPr>
      <w:r w:rsidRPr="0056477B">
        <w:rPr>
          <w:rFonts w:eastAsia="Times New Roman" w:cstheme="minorHAnsi"/>
          <w:b/>
          <w:color w:val="000000"/>
          <w:lang w:val="x-none"/>
        </w:rPr>
        <w:t xml:space="preserve">Sec. 14. </w:t>
      </w:r>
      <w:r w:rsidRPr="0056477B">
        <w:rPr>
          <w:rFonts w:eastAsia="Times New Roman" w:cstheme="minorHAnsi"/>
          <w:color w:val="000000"/>
          <w:lang w:val="x-none"/>
        </w:rPr>
        <w:t xml:space="preserve">RCW 19.280.030 and 2015 3rd </w:t>
      </w:r>
      <w:proofErr w:type="spellStart"/>
      <w:r w:rsidRPr="0056477B">
        <w:rPr>
          <w:rFonts w:eastAsia="Times New Roman" w:cstheme="minorHAnsi"/>
          <w:color w:val="000000"/>
          <w:lang w:val="x-none"/>
        </w:rPr>
        <w:t>sp.s</w:t>
      </w:r>
      <w:proofErr w:type="spellEnd"/>
      <w:r w:rsidRPr="0056477B">
        <w:rPr>
          <w:rFonts w:eastAsia="Times New Roman" w:cstheme="minorHAnsi"/>
          <w:color w:val="000000"/>
          <w:lang w:val="x-none"/>
        </w:rPr>
        <w:t>. c 19 s 9 are each</w:t>
      </w:r>
      <w:r w:rsidRPr="0056477B">
        <w:rPr>
          <w:rFonts w:eastAsia="Times New Roman" w:cstheme="minorHAnsi"/>
          <w:color w:val="000000"/>
        </w:rPr>
        <w:t xml:space="preserve"> </w:t>
      </w:r>
      <w:r w:rsidRPr="0056477B">
        <w:rPr>
          <w:rFonts w:eastAsia="Times New Roman" w:cstheme="minorHAnsi"/>
          <w:color w:val="000000"/>
          <w:lang w:val="x-none"/>
        </w:rPr>
        <w:t>amended to read as follows:</w:t>
      </w:r>
    </w:p>
    <w:p w:rsidR="00EF726F" w:rsidRPr="0056477B" w:rsidRDefault="00EF726F" w:rsidP="00EF726F">
      <w:pPr>
        <w:autoSpaceDE w:val="0"/>
        <w:autoSpaceDN w:val="0"/>
        <w:adjustRightInd w:val="0"/>
        <w:snapToGrid w:val="0"/>
        <w:spacing w:after="0" w:line="240" w:lineRule="auto"/>
        <w:rPr>
          <w:rFonts w:eastAsia="Times New Roman" w:cstheme="minorHAnsi"/>
          <w:color w:val="000000"/>
        </w:rPr>
      </w:pPr>
      <w:r w:rsidRPr="0056477B">
        <w:rPr>
          <w:rFonts w:eastAsia="Times New Roman" w:cstheme="minorHAnsi"/>
          <w:color w:val="000000"/>
          <w:lang w:val="x-none"/>
        </w:rPr>
        <w:tab/>
      </w:r>
      <w:r w:rsidRPr="0056477B">
        <w:rPr>
          <w:rFonts w:eastAsia="Times New Roman" w:cstheme="minorHAnsi"/>
          <w:color w:val="000000"/>
        </w:rPr>
        <w:t>[…]</w:t>
      </w:r>
    </w:p>
    <w:p w:rsidR="00EF726F" w:rsidRPr="0056477B" w:rsidRDefault="00EF726F" w:rsidP="00EF726F">
      <w:pPr>
        <w:autoSpaceDE w:val="0"/>
        <w:autoSpaceDN w:val="0"/>
        <w:adjustRightInd w:val="0"/>
        <w:snapToGrid w:val="0"/>
        <w:spacing w:after="0" w:line="240" w:lineRule="auto"/>
        <w:ind w:firstLine="720"/>
        <w:rPr>
          <w:rFonts w:eastAsia="Times New Roman" w:cstheme="minorHAnsi"/>
          <w:color w:val="000000"/>
          <w:lang w:val="x-none"/>
        </w:rPr>
      </w:pPr>
      <w:r w:rsidRPr="0056477B">
        <w:rPr>
          <w:rFonts w:eastAsia="Times New Roman" w:cstheme="minorHAnsi"/>
          <w:color w:val="000000"/>
          <w:lang w:val="x-none"/>
        </w:rPr>
        <w:t xml:space="preserve"> (3)(a) An electric utility shall consider the social cost of</w:t>
      </w:r>
      <w:r w:rsidRPr="0056477B">
        <w:rPr>
          <w:rFonts w:eastAsia="Times New Roman" w:cstheme="minorHAnsi"/>
          <w:color w:val="000000"/>
        </w:rPr>
        <w:t xml:space="preserve"> </w:t>
      </w:r>
      <w:r w:rsidRPr="0056477B">
        <w:rPr>
          <w:rFonts w:eastAsia="Times New Roman" w:cstheme="minorHAnsi"/>
          <w:color w:val="000000"/>
          <w:lang w:val="x-none"/>
        </w:rPr>
        <w:t xml:space="preserve">greenhouse gas emissions, </w:t>
      </w:r>
      <w:r w:rsidRPr="0056477B">
        <w:rPr>
          <w:rFonts w:eastAsia="Times New Roman" w:cstheme="minorHAnsi"/>
          <w:color w:val="000000"/>
          <w:highlight w:val="yellow"/>
          <w:lang w:val="x-none"/>
        </w:rPr>
        <w:t>as determined by the commission for</w:t>
      </w:r>
      <w:r w:rsidRPr="0056477B">
        <w:rPr>
          <w:rFonts w:eastAsia="Times New Roman" w:cstheme="minorHAnsi"/>
          <w:color w:val="000000"/>
          <w:highlight w:val="yellow"/>
        </w:rPr>
        <w:t xml:space="preserve"> </w:t>
      </w:r>
      <w:r w:rsidRPr="0056477B">
        <w:rPr>
          <w:rFonts w:eastAsia="Times New Roman" w:cstheme="minorHAnsi"/>
          <w:color w:val="000000"/>
          <w:highlight w:val="yellow"/>
          <w:lang w:val="x-none"/>
        </w:rPr>
        <w:t>investor-owned utilities pursuant to section 15 of this act and the</w:t>
      </w:r>
      <w:r w:rsidRPr="0056477B">
        <w:rPr>
          <w:rFonts w:eastAsia="Times New Roman" w:cstheme="minorHAnsi"/>
          <w:color w:val="000000"/>
          <w:highlight w:val="yellow"/>
        </w:rPr>
        <w:t xml:space="preserve"> </w:t>
      </w:r>
      <w:r w:rsidRPr="0056477B">
        <w:rPr>
          <w:rFonts w:eastAsia="Times New Roman" w:cstheme="minorHAnsi"/>
          <w:color w:val="000000"/>
          <w:highlight w:val="yellow"/>
          <w:lang w:val="x-none"/>
        </w:rPr>
        <w:t>department for consumer-owned utilities</w:t>
      </w:r>
      <w:r w:rsidRPr="0056477B">
        <w:rPr>
          <w:rFonts w:eastAsia="Times New Roman" w:cstheme="minorHAnsi"/>
          <w:color w:val="000000"/>
          <w:lang w:val="x-none"/>
        </w:rPr>
        <w:t>, when developing integrated</w:t>
      </w:r>
      <w:r w:rsidRPr="0056477B">
        <w:rPr>
          <w:rFonts w:eastAsia="Times New Roman" w:cstheme="minorHAnsi"/>
          <w:color w:val="000000"/>
        </w:rPr>
        <w:t xml:space="preserve"> </w:t>
      </w:r>
      <w:r w:rsidRPr="0056477B">
        <w:rPr>
          <w:rFonts w:eastAsia="Times New Roman" w:cstheme="minorHAnsi"/>
          <w:color w:val="000000"/>
          <w:lang w:val="x-none"/>
        </w:rPr>
        <w:t>resource plans and clean energy action plans. An electric utility</w:t>
      </w:r>
      <w:r w:rsidRPr="0056477B">
        <w:rPr>
          <w:rFonts w:eastAsia="Times New Roman" w:cstheme="minorHAnsi"/>
          <w:color w:val="000000"/>
        </w:rPr>
        <w:t xml:space="preserve"> </w:t>
      </w:r>
      <w:r w:rsidRPr="0056477B">
        <w:rPr>
          <w:rFonts w:eastAsia="Times New Roman" w:cstheme="minorHAnsi"/>
          <w:color w:val="000000"/>
          <w:lang w:val="x-none"/>
        </w:rPr>
        <w:t>must incorporate the social cost of greenhouse gas emissions as a</w:t>
      </w:r>
      <w:r w:rsidRPr="0056477B">
        <w:rPr>
          <w:rFonts w:eastAsia="Times New Roman" w:cstheme="minorHAnsi"/>
          <w:color w:val="000000"/>
        </w:rPr>
        <w:t xml:space="preserve"> </w:t>
      </w:r>
      <w:r w:rsidRPr="0056477B">
        <w:rPr>
          <w:rFonts w:eastAsia="Times New Roman" w:cstheme="minorHAnsi"/>
          <w:color w:val="000000"/>
          <w:lang w:val="x-none"/>
        </w:rPr>
        <w:t>cost adder when:</w:t>
      </w:r>
    </w:p>
    <w:p w:rsidR="00EF726F" w:rsidRPr="0056477B" w:rsidRDefault="00EF726F" w:rsidP="00EF726F">
      <w:pPr>
        <w:autoSpaceDE w:val="0"/>
        <w:autoSpaceDN w:val="0"/>
        <w:adjustRightInd w:val="0"/>
        <w:snapToGrid w:val="0"/>
        <w:spacing w:before="92" w:after="0" w:line="240" w:lineRule="auto"/>
        <w:ind w:firstLine="720"/>
        <w:rPr>
          <w:rFonts w:eastAsia="Times New Roman" w:cstheme="minorHAnsi"/>
          <w:color w:val="000000"/>
          <w:lang w:val="x-none"/>
        </w:rPr>
      </w:pPr>
      <w:r w:rsidRPr="0056477B">
        <w:rPr>
          <w:rFonts w:eastAsia="Times New Roman" w:cstheme="minorHAnsi"/>
          <w:color w:val="000000"/>
          <w:lang w:val="x-none"/>
        </w:rPr>
        <w:t>(</w:t>
      </w:r>
      <w:proofErr w:type="spellStart"/>
      <w:r w:rsidRPr="0056477B">
        <w:rPr>
          <w:rFonts w:eastAsia="Times New Roman" w:cstheme="minorHAnsi"/>
          <w:color w:val="000000"/>
          <w:lang w:val="x-none"/>
        </w:rPr>
        <w:t>i</w:t>
      </w:r>
      <w:proofErr w:type="spellEnd"/>
      <w:r w:rsidRPr="0056477B">
        <w:rPr>
          <w:rFonts w:eastAsia="Times New Roman" w:cstheme="minorHAnsi"/>
          <w:color w:val="000000"/>
          <w:lang w:val="x-none"/>
        </w:rPr>
        <w:t>) Evaluating and selecting conservation policies, programs, and</w:t>
      </w:r>
      <w:r w:rsidRPr="0056477B">
        <w:rPr>
          <w:rFonts w:eastAsia="Times New Roman" w:cstheme="minorHAnsi"/>
          <w:color w:val="000000"/>
        </w:rPr>
        <w:t xml:space="preserve"> </w:t>
      </w:r>
      <w:r w:rsidRPr="0056477B">
        <w:rPr>
          <w:rFonts w:eastAsia="Times New Roman" w:cstheme="minorHAnsi"/>
          <w:color w:val="000000"/>
          <w:lang w:val="x-none"/>
        </w:rPr>
        <w:t>targets;</w:t>
      </w:r>
    </w:p>
    <w:p w:rsidR="00EF726F" w:rsidRPr="0056477B" w:rsidRDefault="00EF726F" w:rsidP="00EF726F">
      <w:pPr>
        <w:autoSpaceDE w:val="0"/>
        <w:autoSpaceDN w:val="0"/>
        <w:adjustRightInd w:val="0"/>
        <w:snapToGrid w:val="0"/>
        <w:spacing w:before="92" w:after="0" w:line="240" w:lineRule="auto"/>
        <w:ind w:firstLine="720"/>
        <w:rPr>
          <w:rFonts w:eastAsia="Times New Roman" w:cstheme="minorHAnsi"/>
          <w:color w:val="000000"/>
          <w:lang w:val="x-none"/>
        </w:rPr>
      </w:pPr>
      <w:r w:rsidRPr="0056477B">
        <w:rPr>
          <w:rFonts w:eastAsia="Times New Roman" w:cstheme="minorHAnsi"/>
          <w:color w:val="000000"/>
          <w:lang w:val="x-none"/>
        </w:rPr>
        <w:t>(ii) Developing integrated resource plans and clean energy action</w:t>
      </w:r>
      <w:r w:rsidRPr="0056477B">
        <w:rPr>
          <w:rFonts w:eastAsia="Times New Roman" w:cstheme="minorHAnsi"/>
          <w:color w:val="000000"/>
        </w:rPr>
        <w:t xml:space="preserve"> </w:t>
      </w:r>
      <w:r w:rsidRPr="0056477B">
        <w:rPr>
          <w:rFonts w:eastAsia="Times New Roman" w:cstheme="minorHAnsi"/>
          <w:color w:val="000000"/>
          <w:lang w:val="x-none"/>
        </w:rPr>
        <w:t>plans; and</w:t>
      </w:r>
    </w:p>
    <w:p w:rsidR="00EF726F" w:rsidRPr="0056477B" w:rsidRDefault="00EF726F" w:rsidP="00EF726F">
      <w:pPr>
        <w:autoSpaceDE w:val="0"/>
        <w:autoSpaceDN w:val="0"/>
        <w:adjustRightInd w:val="0"/>
        <w:snapToGrid w:val="0"/>
        <w:spacing w:before="92" w:after="0" w:line="240" w:lineRule="auto"/>
        <w:ind w:firstLine="720"/>
        <w:rPr>
          <w:rFonts w:eastAsia="Times New Roman" w:cstheme="minorHAnsi"/>
          <w:color w:val="000000"/>
          <w:lang w:val="x-none"/>
        </w:rPr>
      </w:pPr>
      <w:r w:rsidRPr="0056477B">
        <w:rPr>
          <w:rFonts w:eastAsia="Times New Roman" w:cstheme="minorHAnsi"/>
          <w:color w:val="000000"/>
          <w:lang w:val="x-none"/>
        </w:rPr>
        <w:t>(iii) Evaluating and selecting intermediate term and long-term</w:t>
      </w:r>
      <w:r w:rsidRPr="0056477B">
        <w:rPr>
          <w:rFonts w:eastAsia="Times New Roman" w:cstheme="minorHAnsi"/>
          <w:color w:val="000000"/>
        </w:rPr>
        <w:t xml:space="preserve"> </w:t>
      </w:r>
      <w:r w:rsidRPr="0056477B">
        <w:rPr>
          <w:rFonts w:eastAsia="Times New Roman" w:cstheme="minorHAnsi"/>
          <w:color w:val="000000"/>
          <w:lang w:val="x-none"/>
        </w:rPr>
        <w:t>resource options.</w:t>
      </w:r>
    </w:p>
    <w:p w:rsidR="00EF726F" w:rsidRPr="00C12669" w:rsidRDefault="00C12669" w:rsidP="00EF726F">
      <w:pPr>
        <w:autoSpaceDE w:val="0"/>
        <w:autoSpaceDN w:val="0"/>
        <w:adjustRightInd w:val="0"/>
        <w:snapToGrid w:val="0"/>
        <w:spacing w:after="0" w:line="240" w:lineRule="auto"/>
        <w:rPr>
          <w:rFonts w:eastAsia="Times New Roman" w:cstheme="minorHAnsi"/>
          <w:color w:val="000000"/>
        </w:rPr>
      </w:pPr>
      <w:r>
        <w:rPr>
          <w:rFonts w:eastAsia="Times New Roman" w:cstheme="minorHAnsi"/>
          <w:color w:val="000000"/>
          <w:lang w:val="x-none"/>
        </w:rPr>
        <w:tab/>
      </w:r>
      <w:r>
        <w:rPr>
          <w:rFonts w:eastAsia="Times New Roman" w:cstheme="minorHAnsi"/>
          <w:color w:val="000000"/>
        </w:rPr>
        <w:t>[…]</w:t>
      </w:r>
    </w:p>
    <w:p w:rsidR="00EF726F" w:rsidRPr="0056477B" w:rsidRDefault="00EF726F" w:rsidP="00EF726F">
      <w:pPr>
        <w:autoSpaceDE w:val="0"/>
        <w:autoSpaceDN w:val="0"/>
        <w:adjustRightInd w:val="0"/>
        <w:snapToGrid w:val="0"/>
        <w:spacing w:after="0" w:line="240" w:lineRule="auto"/>
        <w:rPr>
          <w:rFonts w:eastAsia="Times New Roman" w:cstheme="minorHAnsi"/>
          <w:color w:val="000000"/>
          <w:lang w:val="x-none"/>
        </w:rPr>
      </w:pPr>
    </w:p>
    <w:p w:rsidR="00EF726F" w:rsidRPr="0056477B" w:rsidRDefault="00EF726F" w:rsidP="00EF726F">
      <w:pPr>
        <w:autoSpaceDE w:val="0"/>
        <w:autoSpaceDN w:val="0"/>
        <w:adjustRightInd w:val="0"/>
        <w:snapToGrid w:val="0"/>
        <w:spacing w:after="0" w:line="240" w:lineRule="auto"/>
        <w:rPr>
          <w:rFonts w:eastAsia="Times New Roman" w:cstheme="minorHAnsi"/>
          <w:color w:val="000000"/>
          <w:lang w:val="x-none"/>
        </w:rPr>
      </w:pPr>
      <w:r w:rsidRPr="0056477B">
        <w:rPr>
          <w:rFonts w:eastAsia="Times New Roman" w:cstheme="minorHAnsi"/>
          <w:color w:val="000000"/>
          <w:lang w:val="x-none"/>
        </w:rPr>
        <w:t xml:space="preserve">NEW SECTION. </w:t>
      </w:r>
      <w:r w:rsidRPr="0056477B">
        <w:rPr>
          <w:rFonts w:eastAsia="Times New Roman" w:cstheme="minorHAnsi"/>
          <w:b/>
          <w:color w:val="000000"/>
          <w:lang w:val="x-none"/>
        </w:rPr>
        <w:t xml:space="preserve">Sec. 15. </w:t>
      </w:r>
      <w:r w:rsidRPr="0056477B">
        <w:rPr>
          <w:rFonts w:eastAsia="Times New Roman" w:cstheme="minorHAnsi"/>
          <w:color w:val="000000"/>
          <w:lang w:val="x-none"/>
        </w:rPr>
        <w:t>A new section is added to chapter 80.28</w:t>
      </w:r>
    </w:p>
    <w:p w:rsidR="00EF726F" w:rsidRPr="0056477B" w:rsidRDefault="00EF726F" w:rsidP="00EF726F">
      <w:pPr>
        <w:autoSpaceDE w:val="0"/>
        <w:autoSpaceDN w:val="0"/>
        <w:adjustRightInd w:val="0"/>
        <w:snapToGrid w:val="0"/>
        <w:spacing w:before="92" w:after="0" w:line="240" w:lineRule="auto"/>
        <w:rPr>
          <w:rFonts w:eastAsia="Times New Roman" w:cstheme="minorHAnsi"/>
          <w:color w:val="000000"/>
          <w:lang w:val="x-none"/>
        </w:rPr>
      </w:pPr>
      <w:r w:rsidRPr="0056477B">
        <w:rPr>
          <w:rFonts w:eastAsia="Times New Roman" w:cstheme="minorHAnsi"/>
          <w:color w:val="000000"/>
          <w:lang w:val="x-none"/>
        </w:rPr>
        <w:t>RCW to read as follows:</w:t>
      </w:r>
    </w:p>
    <w:p w:rsidR="00EF726F" w:rsidRPr="0056477B" w:rsidRDefault="00EF726F" w:rsidP="00EF726F">
      <w:pPr>
        <w:pBdr>
          <w:bottom w:val="single" w:sz="12" w:space="1" w:color="auto"/>
        </w:pBdr>
        <w:autoSpaceDE w:val="0"/>
        <w:autoSpaceDN w:val="0"/>
        <w:adjustRightInd w:val="0"/>
        <w:snapToGrid w:val="0"/>
        <w:spacing w:before="92" w:after="0" w:line="240" w:lineRule="auto"/>
        <w:ind w:firstLine="720"/>
        <w:rPr>
          <w:rFonts w:eastAsia="Times New Roman" w:cstheme="minorHAnsi"/>
          <w:color w:val="000000"/>
          <w:lang w:val="x-none"/>
        </w:rPr>
      </w:pPr>
      <w:r w:rsidRPr="0056477B">
        <w:rPr>
          <w:rFonts w:eastAsia="Times New Roman" w:cstheme="minorHAnsi"/>
          <w:color w:val="000000"/>
          <w:lang w:val="x-none"/>
        </w:rPr>
        <w:t>For the purposes of this act, the cost of greenhouse gas</w:t>
      </w:r>
      <w:r w:rsidRPr="0056477B">
        <w:rPr>
          <w:rFonts w:eastAsia="Times New Roman" w:cstheme="minorHAnsi"/>
          <w:color w:val="000000"/>
        </w:rPr>
        <w:t xml:space="preserve"> </w:t>
      </w:r>
      <w:r w:rsidRPr="0056477B">
        <w:rPr>
          <w:rFonts w:eastAsia="Times New Roman" w:cstheme="minorHAnsi"/>
          <w:color w:val="000000"/>
          <w:lang w:val="x-none"/>
        </w:rPr>
        <w:t>emissions resulting from the generation of electricity, including the</w:t>
      </w:r>
      <w:r w:rsidRPr="0056477B">
        <w:rPr>
          <w:rFonts w:eastAsia="Times New Roman" w:cstheme="minorHAnsi"/>
          <w:color w:val="000000"/>
        </w:rPr>
        <w:t xml:space="preserve"> </w:t>
      </w:r>
      <w:r w:rsidRPr="0056477B">
        <w:rPr>
          <w:rFonts w:eastAsia="Times New Roman" w:cstheme="minorHAnsi"/>
          <w:color w:val="000000"/>
          <w:lang w:val="x-none"/>
        </w:rPr>
        <w:t>effect of emissions, is equal to the cost per metric ton of carbon</w:t>
      </w:r>
      <w:r w:rsidRPr="0056477B">
        <w:rPr>
          <w:rFonts w:eastAsia="Times New Roman" w:cstheme="minorHAnsi"/>
          <w:color w:val="000000"/>
        </w:rPr>
        <w:t xml:space="preserve"> </w:t>
      </w:r>
      <w:r w:rsidRPr="0056477B">
        <w:rPr>
          <w:rFonts w:eastAsia="Times New Roman" w:cstheme="minorHAnsi"/>
          <w:color w:val="000000"/>
          <w:lang w:val="x-none"/>
        </w:rPr>
        <w:t>dioxide equivalent emissions, using the two and one-half percent</w:t>
      </w:r>
      <w:r w:rsidRPr="0056477B">
        <w:rPr>
          <w:rFonts w:eastAsia="Times New Roman" w:cstheme="minorHAnsi"/>
          <w:color w:val="000000"/>
        </w:rPr>
        <w:t xml:space="preserve"> </w:t>
      </w:r>
      <w:r w:rsidRPr="0056477B">
        <w:rPr>
          <w:rFonts w:eastAsia="Times New Roman" w:cstheme="minorHAnsi"/>
          <w:color w:val="000000"/>
          <w:lang w:val="x-none"/>
        </w:rPr>
        <w:t>discount rate, listed in table 2, technical support document:</w:t>
      </w:r>
      <w:r w:rsidRPr="0056477B">
        <w:rPr>
          <w:rFonts w:eastAsia="Times New Roman" w:cstheme="minorHAnsi"/>
          <w:color w:val="000000"/>
        </w:rPr>
        <w:t xml:space="preserve"> </w:t>
      </w:r>
      <w:r w:rsidRPr="0056477B">
        <w:rPr>
          <w:rFonts w:eastAsia="Times New Roman" w:cstheme="minorHAnsi"/>
          <w:color w:val="000000"/>
          <w:lang w:val="x-none"/>
        </w:rPr>
        <w:t>Technical update of the social cost of carbon for regulatory impact</w:t>
      </w:r>
      <w:r w:rsidRPr="0056477B">
        <w:rPr>
          <w:rFonts w:eastAsia="Times New Roman" w:cstheme="minorHAnsi"/>
          <w:color w:val="000000"/>
        </w:rPr>
        <w:t xml:space="preserve"> </w:t>
      </w:r>
      <w:r w:rsidRPr="0056477B">
        <w:rPr>
          <w:rFonts w:eastAsia="Times New Roman" w:cstheme="minorHAnsi"/>
          <w:color w:val="000000"/>
          <w:lang w:val="x-none"/>
        </w:rPr>
        <w:t>analysis under Executive Order No. 12866, published by the</w:t>
      </w:r>
      <w:r w:rsidRPr="0056477B">
        <w:rPr>
          <w:rFonts w:eastAsia="Times New Roman" w:cstheme="minorHAnsi"/>
          <w:color w:val="000000"/>
        </w:rPr>
        <w:t xml:space="preserve"> </w:t>
      </w:r>
      <w:r w:rsidRPr="0056477B">
        <w:rPr>
          <w:rFonts w:eastAsia="Times New Roman" w:cstheme="minorHAnsi"/>
          <w:color w:val="000000"/>
          <w:lang w:val="x-none"/>
        </w:rPr>
        <w:t>interagency working group on social cost of greenhouse gases of the</w:t>
      </w:r>
      <w:r w:rsidRPr="0056477B">
        <w:rPr>
          <w:rFonts w:eastAsia="Times New Roman" w:cstheme="minorHAnsi"/>
          <w:color w:val="000000"/>
        </w:rPr>
        <w:t xml:space="preserve"> </w:t>
      </w:r>
      <w:r w:rsidRPr="0056477B">
        <w:rPr>
          <w:rFonts w:eastAsia="Times New Roman" w:cstheme="minorHAnsi"/>
          <w:color w:val="000000"/>
          <w:lang w:val="x-none"/>
        </w:rPr>
        <w:t>United States government, August 2016. The commission must adjust the</w:t>
      </w:r>
      <w:r w:rsidRPr="0056477B">
        <w:rPr>
          <w:rFonts w:eastAsia="Times New Roman" w:cstheme="minorHAnsi"/>
          <w:color w:val="000000"/>
        </w:rPr>
        <w:t xml:space="preserve"> </w:t>
      </w:r>
      <w:r w:rsidRPr="0056477B">
        <w:rPr>
          <w:rFonts w:eastAsia="Times New Roman" w:cstheme="minorHAnsi"/>
          <w:color w:val="000000"/>
          <w:lang w:val="x-none"/>
        </w:rPr>
        <w:t>costs established in this section to reflect the effect of inflation.</w:t>
      </w:r>
    </w:p>
    <w:p w:rsidR="00C12669" w:rsidRPr="00C12669" w:rsidRDefault="00C12669" w:rsidP="00C12669">
      <w:pPr>
        <w:autoSpaceDE w:val="0"/>
        <w:autoSpaceDN w:val="0"/>
        <w:adjustRightInd w:val="0"/>
        <w:snapToGrid w:val="0"/>
        <w:spacing w:before="92" w:after="0" w:line="240" w:lineRule="auto"/>
        <w:rPr>
          <w:rFonts w:eastAsia="Times New Roman" w:cstheme="minorHAnsi"/>
          <w:color w:val="000000"/>
        </w:rPr>
      </w:pPr>
    </w:p>
    <w:p w:rsidR="004C79D5" w:rsidRDefault="00771065">
      <w:r w:rsidRPr="0056477B">
        <w:rPr>
          <w:rFonts w:cstheme="minorHAnsi"/>
          <w:noProof/>
        </w:rPr>
        <w:drawing>
          <wp:inline distT="0" distB="0" distL="0" distR="0" wp14:anchorId="37391DD3" wp14:editId="3B9A5049">
            <wp:extent cx="5124450" cy="2600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24450" cy="2600325"/>
                    </a:xfrm>
                    <a:prstGeom prst="rect">
                      <a:avLst/>
                    </a:prstGeom>
                  </pic:spPr>
                </pic:pic>
              </a:graphicData>
            </a:graphic>
          </wp:inline>
        </w:drawing>
      </w:r>
      <w:r w:rsidR="004C79D5">
        <w:br w:type="page"/>
      </w:r>
    </w:p>
    <w:p w:rsidR="00F76B75" w:rsidRPr="0056477B" w:rsidRDefault="0056477B">
      <w:pPr>
        <w:rPr>
          <w:b/>
          <w:u w:val="single"/>
        </w:rPr>
      </w:pPr>
      <w:r>
        <w:rPr>
          <w:b/>
          <w:u w:val="single"/>
        </w:rPr>
        <w:lastRenderedPageBreak/>
        <w:t>Discussion draft rule language</w:t>
      </w:r>
    </w:p>
    <w:p w:rsidR="00964794" w:rsidRDefault="00964794" w:rsidP="00964794">
      <w:pPr>
        <w:pStyle w:val="ListParagraph"/>
        <w:numPr>
          <w:ilvl w:val="0"/>
          <w:numId w:val="2"/>
        </w:numPr>
      </w:pPr>
      <w:r>
        <w:t xml:space="preserve">The social cost of greenhouse gas emissions to be included by utilities in resource planning, evaluation, and selection, in compliance with RCW 19.280.030.(3), is equal to the </w:t>
      </w:r>
      <w:r w:rsidRPr="00964794">
        <w:t>cost per metric ton of carbon dioxide equivalent</w:t>
      </w:r>
      <w:r w:rsidR="0056477B">
        <w:t xml:space="preserve"> emissions, using the 2.5 percent</w:t>
      </w:r>
      <w:r w:rsidRPr="00964794">
        <w:t xml:space="preserve"> discount rate, listed in table 2, technical support document: Technical update of the social cost of carbon for regulatory impact analysis under Executive Order No. 12866, published by the interagency working group on social cost of greenhouse gases of the United</w:t>
      </w:r>
      <w:r w:rsidR="0056477B">
        <w:t xml:space="preserve"> States government, August 2016, referred to in this rule as the ”technical support document.”</w:t>
      </w:r>
    </w:p>
    <w:p w:rsidR="004C79D5" w:rsidRDefault="004C79D5" w:rsidP="00964794">
      <w:pPr>
        <w:pStyle w:val="ListParagraph"/>
        <w:numPr>
          <w:ilvl w:val="0"/>
          <w:numId w:val="2"/>
        </w:numPr>
      </w:pPr>
      <w:r>
        <w:t>As a convenience, the cost values established in subsection (1) are restated here:</w:t>
      </w:r>
    </w:p>
    <w:tbl>
      <w:tblPr>
        <w:tblStyle w:val="TableGrid"/>
        <w:tblW w:w="0" w:type="auto"/>
        <w:jc w:val="center"/>
        <w:tblLook w:val="04A0" w:firstRow="1" w:lastRow="0" w:firstColumn="1" w:lastColumn="0" w:noHBand="0" w:noVBand="1"/>
      </w:tblPr>
      <w:tblGrid>
        <w:gridCol w:w="1705"/>
        <w:gridCol w:w="2250"/>
      </w:tblGrid>
      <w:tr w:rsidR="004C79D5" w:rsidTr="00877F9A">
        <w:trPr>
          <w:jc w:val="center"/>
        </w:trPr>
        <w:tc>
          <w:tcPr>
            <w:tcW w:w="1705" w:type="dxa"/>
          </w:tcPr>
          <w:p w:rsidR="004C79D5" w:rsidRPr="00877F9A" w:rsidRDefault="004C79D5" w:rsidP="00877F9A">
            <w:pPr>
              <w:pStyle w:val="ListParagraph"/>
              <w:ind w:left="0"/>
              <w:jc w:val="center"/>
              <w:rPr>
                <w:b/>
              </w:rPr>
            </w:pPr>
            <w:r w:rsidRPr="00877F9A">
              <w:rPr>
                <w:b/>
              </w:rPr>
              <w:t>Year in Which Emissions Occur or Are Avoided</w:t>
            </w:r>
          </w:p>
        </w:tc>
        <w:tc>
          <w:tcPr>
            <w:tcW w:w="2250" w:type="dxa"/>
          </w:tcPr>
          <w:p w:rsidR="004C79D5" w:rsidRPr="00877F9A" w:rsidRDefault="00877F9A" w:rsidP="00877F9A">
            <w:pPr>
              <w:pStyle w:val="ListParagraph"/>
              <w:ind w:left="0"/>
              <w:jc w:val="center"/>
              <w:rPr>
                <w:b/>
              </w:rPr>
            </w:pPr>
            <w:r w:rsidRPr="00877F9A">
              <w:rPr>
                <w:b/>
              </w:rPr>
              <w:t>Social Cost of Carbon Dioxide (in 2007 dollars per metric ton)</w:t>
            </w:r>
          </w:p>
        </w:tc>
      </w:tr>
      <w:tr w:rsidR="004C79D5" w:rsidTr="00877F9A">
        <w:trPr>
          <w:jc w:val="center"/>
        </w:trPr>
        <w:tc>
          <w:tcPr>
            <w:tcW w:w="1705" w:type="dxa"/>
          </w:tcPr>
          <w:p w:rsidR="004C79D5" w:rsidRDefault="00877F9A" w:rsidP="00877F9A">
            <w:pPr>
              <w:pStyle w:val="ListParagraph"/>
              <w:ind w:left="0"/>
              <w:jc w:val="center"/>
            </w:pPr>
            <w:r>
              <w:t>2010</w:t>
            </w:r>
          </w:p>
        </w:tc>
        <w:tc>
          <w:tcPr>
            <w:tcW w:w="2250" w:type="dxa"/>
          </w:tcPr>
          <w:p w:rsidR="004C79D5" w:rsidRDefault="00877F9A" w:rsidP="00877F9A">
            <w:pPr>
              <w:pStyle w:val="ListParagraph"/>
              <w:ind w:left="0"/>
              <w:jc w:val="center"/>
            </w:pPr>
            <w:r>
              <w:t>$50</w:t>
            </w:r>
          </w:p>
        </w:tc>
      </w:tr>
      <w:tr w:rsidR="004C79D5" w:rsidTr="00877F9A">
        <w:trPr>
          <w:jc w:val="center"/>
        </w:trPr>
        <w:tc>
          <w:tcPr>
            <w:tcW w:w="1705" w:type="dxa"/>
          </w:tcPr>
          <w:p w:rsidR="004C79D5" w:rsidRDefault="00877F9A" w:rsidP="00877F9A">
            <w:pPr>
              <w:pStyle w:val="ListParagraph"/>
              <w:ind w:left="0"/>
              <w:jc w:val="center"/>
            </w:pPr>
            <w:r>
              <w:t>2015</w:t>
            </w:r>
          </w:p>
        </w:tc>
        <w:tc>
          <w:tcPr>
            <w:tcW w:w="2250" w:type="dxa"/>
          </w:tcPr>
          <w:p w:rsidR="004C79D5" w:rsidRDefault="00877F9A" w:rsidP="00877F9A">
            <w:pPr>
              <w:pStyle w:val="ListParagraph"/>
              <w:ind w:left="0"/>
              <w:jc w:val="center"/>
            </w:pPr>
            <w:r>
              <w:t>$56</w:t>
            </w:r>
          </w:p>
        </w:tc>
      </w:tr>
      <w:tr w:rsidR="004C79D5" w:rsidTr="00877F9A">
        <w:trPr>
          <w:jc w:val="center"/>
        </w:trPr>
        <w:tc>
          <w:tcPr>
            <w:tcW w:w="1705" w:type="dxa"/>
          </w:tcPr>
          <w:p w:rsidR="004C79D5" w:rsidRDefault="00877F9A" w:rsidP="00877F9A">
            <w:pPr>
              <w:pStyle w:val="ListParagraph"/>
              <w:ind w:left="0"/>
              <w:jc w:val="center"/>
            </w:pPr>
            <w:r>
              <w:t>2020</w:t>
            </w:r>
          </w:p>
        </w:tc>
        <w:tc>
          <w:tcPr>
            <w:tcW w:w="2250" w:type="dxa"/>
          </w:tcPr>
          <w:p w:rsidR="004C79D5" w:rsidRDefault="00877F9A" w:rsidP="00877F9A">
            <w:pPr>
              <w:pStyle w:val="ListParagraph"/>
              <w:ind w:left="0"/>
              <w:jc w:val="center"/>
            </w:pPr>
            <w:r>
              <w:t>$62</w:t>
            </w:r>
          </w:p>
        </w:tc>
      </w:tr>
      <w:tr w:rsidR="004C79D5" w:rsidTr="00877F9A">
        <w:trPr>
          <w:jc w:val="center"/>
        </w:trPr>
        <w:tc>
          <w:tcPr>
            <w:tcW w:w="1705" w:type="dxa"/>
          </w:tcPr>
          <w:p w:rsidR="004C79D5" w:rsidRDefault="00877F9A" w:rsidP="00877F9A">
            <w:pPr>
              <w:pStyle w:val="ListParagraph"/>
              <w:ind w:left="0"/>
              <w:jc w:val="center"/>
            </w:pPr>
            <w:r>
              <w:t>2025</w:t>
            </w:r>
          </w:p>
        </w:tc>
        <w:tc>
          <w:tcPr>
            <w:tcW w:w="2250" w:type="dxa"/>
          </w:tcPr>
          <w:p w:rsidR="004C79D5" w:rsidRDefault="00877F9A" w:rsidP="00877F9A">
            <w:pPr>
              <w:pStyle w:val="ListParagraph"/>
              <w:ind w:left="0"/>
              <w:jc w:val="center"/>
            </w:pPr>
            <w:r>
              <w:t>$68</w:t>
            </w:r>
          </w:p>
        </w:tc>
      </w:tr>
      <w:tr w:rsidR="004C79D5" w:rsidTr="00877F9A">
        <w:trPr>
          <w:jc w:val="center"/>
        </w:trPr>
        <w:tc>
          <w:tcPr>
            <w:tcW w:w="1705" w:type="dxa"/>
          </w:tcPr>
          <w:p w:rsidR="004C79D5" w:rsidRDefault="00877F9A" w:rsidP="00877F9A">
            <w:pPr>
              <w:pStyle w:val="ListParagraph"/>
              <w:ind w:left="0"/>
              <w:jc w:val="center"/>
            </w:pPr>
            <w:r>
              <w:t>2030</w:t>
            </w:r>
          </w:p>
        </w:tc>
        <w:tc>
          <w:tcPr>
            <w:tcW w:w="2250" w:type="dxa"/>
          </w:tcPr>
          <w:p w:rsidR="004C79D5" w:rsidRDefault="00877F9A" w:rsidP="00877F9A">
            <w:pPr>
              <w:pStyle w:val="ListParagraph"/>
              <w:ind w:left="0"/>
              <w:jc w:val="center"/>
            </w:pPr>
            <w:r>
              <w:t>$73</w:t>
            </w:r>
          </w:p>
        </w:tc>
      </w:tr>
      <w:tr w:rsidR="004C79D5" w:rsidTr="00877F9A">
        <w:trPr>
          <w:jc w:val="center"/>
        </w:trPr>
        <w:tc>
          <w:tcPr>
            <w:tcW w:w="1705" w:type="dxa"/>
          </w:tcPr>
          <w:p w:rsidR="004C79D5" w:rsidRDefault="00877F9A" w:rsidP="00877F9A">
            <w:pPr>
              <w:pStyle w:val="ListParagraph"/>
              <w:ind w:left="0"/>
              <w:jc w:val="center"/>
            </w:pPr>
            <w:r>
              <w:t>2035</w:t>
            </w:r>
          </w:p>
        </w:tc>
        <w:tc>
          <w:tcPr>
            <w:tcW w:w="2250" w:type="dxa"/>
          </w:tcPr>
          <w:p w:rsidR="004C79D5" w:rsidRDefault="00877F9A" w:rsidP="00877F9A">
            <w:pPr>
              <w:pStyle w:val="ListParagraph"/>
              <w:ind w:left="0"/>
              <w:jc w:val="center"/>
            </w:pPr>
            <w:r>
              <w:t>$78</w:t>
            </w:r>
          </w:p>
        </w:tc>
      </w:tr>
      <w:tr w:rsidR="004C79D5" w:rsidTr="00877F9A">
        <w:trPr>
          <w:jc w:val="center"/>
        </w:trPr>
        <w:tc>
          <w:tcPr>
            <w:tcW w:w="1705" w:type="dxa"/>
          </w:tcPr>
          <w:p w:rsidR="004C79D5" w:rsidRDefault="00877F9A" w:rsidP="00877F9A">
            <w:pPr>
              <w:pStyle w:val="ListParagraph"/>
              <w:ind w:left="0"/>
              <w:jc w:val="center"/>
            </w:pPr>
            <w:r>
              <w:t>2040</w:t>
            </w:r>
          </w:p>
        </w:tc>
        <w:tc>
          <w:tcPr>
            <w:tcW w:w="2250" w:type="dxa"/>
          </w:tcPr>
          <w:p w:rsidR="004C79D5" w:rsidRDefault="00877F9A" w:rsidP="00877F9A">
            <w:pPr>
              <w:pStyle w:val="ListParagraph"/>
              <w:ind w:left="0"/>
              <w:jc w:val="center"/>
            </w:pPr>
            <w:r>
              <w:t>$84</w:t>
            </w:r>
          </w:p>
        </w:tc>
      </w:tr>
      <w:tr w:rsidR="00877F9A" w:rsidTr="00877F9A">
        <w:trPr>
          <w:jc w:val="center"/>
        </w:trPr>
        <w:tc>
          <w:tcPr>
            <w:tcW w:w="1705" w:type="dxa"/>
          </w:tcPr>
          <w:p w:rsidR="00877F9A" w:rsidRDefault="00877F9A" w:rsidP="00877F9A">
            <w:pPr>
              <w:pStyle w:val="ListParagraph"/>
              <w:ind w:left="0"/>
              <w:jc w:val="center"/>
            </w:pPr>
            <w:r>
              <w:t>2045</w:t>
            </w:r>
          </w:p>
        </w:tc>
        <w:tc>
          <w:tcPr>
            <w:tcW w:w="2250" w:type="dxa"/>
          </w:tcPr>
          <w:p w:rsidR="00877F9A" w:rsidRDefault="00877F9A" w:rsidP="00877F9A">
            <w:pPr>
              <w:pStyle w:val="ListParagraph"/>
              <w:ind w:left="0"/>
              <w:jc w:val="center"/>
            </w:pPr>
            <w:r>
              <w:t>$89</w:t>
            </w:r>
          </w:p>
        </w:tc>
      </w:tr>
      <w:tr w:rsidR="00877F9A" w:rsidTr="00877F9A">
        <w:trPr>
          <w:jc w:val="center"/>
        </w:trPr>
        <w:tc>
          <w:tcPr>
            <w:tcW w:w="1705" w:type="dxa"/>
          </w:tcPr>
          <w:p w:rsidR="00877F9A" w:rsidRDefault="00877F9A" w:rsidP="00877F9A">
            <w:pPr>
              <w:pStyle w:val="ListParagraph"/>
              <w:ind w:left="0"/>
              <w:jc w:val="center"/>
            </w:pPr>
            <w:r>
              <w:t>2050</w:t>
            </w:r>
          </w:p>
        </w:tc>
        <w:tc>
          <w:tcPr>
            <w:tcW w:w="2250" w:type="dxa"/>
          </w:tcPr>
          <w:p w:rsidR="00877F9A" w:rsidRDefault="00877F9A" w:rsidP="00877F9A">
            <w:pPr>
              <w:pStyle w:val="ListParagraph"/>
              <w:ind w:left="0"/>
              <w:jc w:val="center"/>
            </w:pPr>
            <w:r>
              <w:t>$95</w:t>
            </w:r>
          </w:p>
        </w:tc>
      </w:tr>
    </w:tbl>
    <w:p w:rsidR="004C79D5" w:rsidRDefault="004C79D5" w:rsidP="004C79D5">
      <w:pPr>
        <w:pStyle w:val="ListParagraph"/>
        <w:ind w:left="360"/>
      </w:pPr>
    </w:p>
    <w:p w:rsidR="00554075" w:rsidRDefault="00554075" w:rsidP="00964794">
      <w:pPr>
        <w:pStyle w:val="ListParagraph"/>
        <w:numPr>
          <w:ilvl w:val="0"/>
          <w:numId w:val="2"/>
        </w:numPr>
      </w:pPr>
      <w:r>
        <w:t xml:space="preserve">The </w:t>
      </w:r>
      <w:r w:rsidR="00877F9A">
        <w:t xml:space="preserve">social </w:t>
      </w:r>
      <w:r>
        <w:t>cost values established in subsection (1) are minimum values. A utility may apply a greater value if it has a reasonable basis to do so.</w:t>
      </w:r>
    </w:p>
    <w:p w:rsidR="00964794" w:rsidRDefault="00554075" w:rsidP="00964794">
      <w:pPr>
        <w:pStyle w:val="ListParagraph"/>
        <w:numPr>
          <w:ilvl w:val="0"/>
          <w:numId w:val="2"/>
        </w:numPr>
      </w:pPr>
      <w:r>
        <w:t xml:space="preserve">The </w:t>
      </w:r>
      <w:r w:rsidR="00877F9A">
        <w:t xml:space="preserve">social </w:t>
      </w:r>
      <w:r>
        <w:t xml:space="preserve">cost values for intermediate years are </w:t>
      </w:r>
      <w:r w:rsidR="00877F9A">
        <w:t xml:space="preserve">calculated by linear interpolation and </w:t>
      </w:r>
      <w:r>
        <w:t xml:space="preserve">provided in Appendix A of the </w:t>
      </w:r>
      <w:r w:rsidR="00AB3458">
        <w:t>technical support</w:t>
      </w:r>
      <w:r>
        <w:t xml:space="preserve"> document</w:t>
      </w:r>
      <w:r w:rsidR="00877F9A">
        <w:t>. Social c</w:t>
      </w:r>
      <w:r>
        <w:t>ost values for years after 2050 must be determined by applying an escalation factor of 1.3 percent, consiste</w:t>
      </w:r>
      <w:r w:rsidR="00AB3458">
        <w:t>nt with Table 3 of the technical support</w:t>
      </w:r>
      <w:r>
        <w:t xml:space="preserve"> document.</w:t>
      </w:r>
      <w:r w:rsidR="00877F9A">
        <w:t xml:space="preserve"> Social c</w:t>
      </w:r>
      <w:r w:rsidR="00AB3458">
        <w:t xml:space="preserve">ost values must be adjusted </w:t>
      </w:r>
      <w:r w:rsidR="004C79D5">
        <w:t xml:space="preserve">for inflation </w:t>
      </w:r>
      <w:r w:rsidR="00AB3458">
        <w:t xml:space="preserve">from 2007 dollars </w:t>
      </w:r>
      <w:r w:rsidR="004C79D5">
        <w:t xml:space="preserve">to </w:t>
      </w:r>
      <w:r w:rsidR="00771065">
        <w:t xml:space="preserve">the base year used for </w:t>
      </w:r>
      <w:r w:rsidR="004C79D5">
        <w:t xml:space="preserve">other cost </w:t>
      </w:r>
      <w:r w:rsidR="00877F9A">
        <w:t xml:space="preserve">and benefit </w:t>
      </w:r>
      <w:r w:rsidR="004C79D5">
        <w:t>values in the utility’s analysis.</w:t>
      </w:r>
    </w:p>
    <w:sectPr w:rsidR="00964794" w:rsidSect="008F04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7B" w:rsidRDefault="0056477B" w:rsidP="0056477B">
      <w:pPr>
        <w:spacing w:after="0" w:line="240" w:lineRule="auto"/>
      </w:pPr>
      <w:r>
        <w:separator/>
      </w:r>
    </w:p>
  </w:endnote>
  <w:endnote w:type="continuationSeparator" w:id="0">
    <w:p w:rsidR="0056477B" w:rsidRDefault="0056477B" w:rsidP="0056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53" w:rsidRDefault="00211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77B" w:rsidRDefault="0056477B">
    <w:pPr>
      <w:pStyle w:val="Footer"/>
    </w:pPr>
    <w:bookmarkStart w:id="0" w:name="_GoBack"/>
    <w:r>
      <w:t xml:space="preserve">8/22/2019 DISCUSSION DRAFT – Comments to </w:t>
    </w:r>
    <w:hyperlink r:id="rId1" w:history="1">
      <w:r w:rsidRPr="00092DC1">
        <w:rPr>
          <w:rStyle w:val="Hyperlink"/>
        </w:rPr>
        <w:t>ceta@commerce.wa.gov</w:t>
      </w:r>
    </w:hyperlink>
    <w:r>
      <w:t xml:space="preserve"> – page </w:t>
    </w:r>
    <w:r>
      <w:fldChar w:fldCharType="begin"/>
    </w:r>
    <w:r>
      <w:instrText xml:space="preserve"> PAGE   \* MERGEFORMAT </w:instrText>
    </w:r>
    <w:r>
      <w:fldChar w:fldCharType="separate"/>
    </w:r>
    <w:r w:rsidR="00211253">
      <w:rPr>
        <w:noProof/>
      </w:rPr>
      <w:t>2</w:t>
    </w:r>
    <w:r>
      <w:rPr>
        <w:noProof/>
      </w:rPr>
      <w:fldChar w:fldCharType="end"/>
    </w:r>
  </w:p>
  <w:bookmarkEnd w:id="0"/>
  <w:p w:rsidR="0056477B" w:rsidRDefault="005647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53" w:rsidRDefault="00211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7B" w:rsidRDefault="0056477B" w:rsidP="0056477B">
      <w:pPr>
        <w:spacing w:after="0" w:line="240" w:lineRule="auto"/>
      </w:pPr>
      <w:r>
        <w:separator/>
      </w:r>
    </w:p>
  </w:footnote>
  <w:footnote w:type="continuationSeparator" w:id="0">
    <w:p w:rsidR="0056477B" w:rsidRDefault="0056477B" w:rsidP="0056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53" w:rsidRDefault="00211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53" w:rsidRDefault="00211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53" w:rsidRDefault="00211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34756"/>
    <w:multiLevelType w:val="hybridMultilevel"/>
    <w:tmpl w:val="A6BE4C10"/>
    <w:lvl w:ilvl="0" w:tplc="26FC0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75B79"/>
    <w:multiLevelType w:val="hybridMultilevel"/>
    <w:tmpl w:val="A9D01230"/>
    <w:lvl w:ilvl="0" w:tplc="8D9283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6F"/>
    <w:rsid w:val="00211253"/>
    <w:rsid w:val="004C79D5"/>
    <w:rsid w:val="00554075"/>
    <w:rsid w:val="0056477B"/>
    <w:rsid w:val="00771065"/>
    <w:rsid w:val="00877F9A"/>
    <w:rsid w:val="00964794"/>
    <w:rsid w:val="00AB3458"/>
    <w:rsid w:val="00C12669"/>
    <w:rsid w:val="00EF726F"/>
    <w:rsid w:val="00F7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ED06"/>
  <w15:chartTrackingRefBased/>
  <w15:docId w15:val="{9B21D211-72C6-4965-9C15-3BB1B521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794"/>
    <w:pPr>
      <w:ind w:left="720"/>
      <w:contextualSpacing/>
    </w:pPr>
  </w:style>
  <w:style w:type="table" w:styleId="TableGrid">
    <w:name w:val="Table Grid"/>
    <w:basedOn w:val="TableNormal"/>
    <w:uiPriority w:val="39"/>
    <w:rsid w:val="004C7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77B"/>
  </w:style>
  <w:style w:type="paragraph" w:styleId="Footer">
    <w:name w:val="footer"/>
    <w:basedOn w:val="Normal"/>
    <w:link w:val="FooterChar"/>
    <w:uiPriority w:val="99"/>
    <w:unhideWhenUsed/>
    <w:rsid w:val="00564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77B"/>
  </w:style>
  <w:style w:type="character" w:styleId="Hyperlink">
    <w:name w:val="Hyperlink"/>
    <w:basedOn w:val="DefaultParagraphFont"/>
    <w:uiPriority w:val="99"/>
    <w:unhideWhenUsed/>
    <w:rsid w:val="005647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eta@commerc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Blackmon, Glenn (COM)</dc:creator>
  <cp:keywords/>
  <dc:description/>
  <cp:lastModifiedBy>Blackmon, Glenn (COM)</cp:lastModifiedBy>
  <cp:revision>2</cp:revision>
  <dcterms:created xsi:type="dcterms:W3CDTF">2019-08-14T16:33:00Z</dcterms:created>
  <dcterms:modified xsi:type="dcterms:W3CDTF">2019-08-14T16:33:00Z</dcterms:modified>
</cp:coreProperties>
</file>