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F4" w:rsidRDefault="00AC0EF4" w:rsidP="00AC0EF4">
      <w:r>
        <w:t xml:space="preserve">9/28/2018  </w:t>
      </w:r>
    </w:p>
    <w:p w:rsidR="00982E7D" w:rsidRDefault="00AC0EF4" w:rsidP="00AC0EF4">
      <w:bookmarkStart w:id="0" w:name="_GoBack"/>
      <w:r>
        <w:t>Data clarifying questions</w:t>
      </w:r>
    </w:p>
    <w:bookmarkEnd w:id="0"/>
    <w:p w:rsidR="00AC0EF4" w:rsidRDefault="00AC0EF4" w:rsidP="00AC0EF4"/>
    <w:p w:rsidR="00AC0EF4" w:rsidRDefault="00AC0EF4" w:rsidP="00AC0EF4">
      <w:pPr>
        <w:pStyle w:val="ListParagraph"/>
        <w:numPr>
          <w:ilvl w:val="0"/>
          <w:numId w:val="2"/>
        </w:numPr>
      </w:pPr>
      <w:r>
        <w:t xml:space="preserve">How much of an increase in participation did JPMC find in its </w:t>
      </w:r>
      <w:hyperlink r:id="rId5" w:history="1">
        <w:r w:rsidRPr="00AC0EF4">
          <w:rPr>
            <w:rStyle w:val="Hyperlink"/>
          </w:rPr>
          <w:t>2018 report</w:t>
        </w:r>
      </w:hyperlink>
      <w:r>
        <w:t>?</w:t>
      </w:r>
    </w:p>
    <w:p w:rsidR="004559AF" w:rsidRDefault="00AC0EF4" w:rsidP="004559AF">
      <w:pPr>
        <w:ind w:left="720"/>
      </w:pPr>
      <w:r>
        <w:t xml:space="preserve">ANSWER: </w:t>
      </w:r>
      <w:r w:rsidR="00FB4ECD" w:rsidRPr="00746145">
        <w:rPr>
          <w:i/>
        </w:rPr>
        <w:t>See</w:t>
      </w:r>
      <w:r w:rsidR="00FB4ECD">
        <w:t xml:space="preserve"> pages 9-10. Total participation </w:t>
      </w:r>
      <w:r w:rsidR="004559AF">
        <w:t xml:space="preserve">across all online sectors </w:t>
      </w:r>
      <w:r w:rsidR="00FB4ECD">
        <w:t xml:space="preserve">grew steadily by about 0.3 percentage points per year going from 0.3 percent in the first quarter of 2013, to 1.6 percent in the first quarter of 2018. </w:t>
      </w:r>
    </w:p>
    <w:p w:rsidR="00FB4ECD" w:rsidRDefault="00FB4ECD" w:rsidP="004559AF">
      <w:pPr>
        <w:ind w:left="720"/>
      </w:pPr>
      <w:r>
        <w:t xml:space="preserve">In terms of year-on-year growth, comparing March 2018 with March 2017, there were 15 percent more drivers, 37 percent more non-transport workers, 10 percent more lessors, and 6 percent fewer sellers. </w:t>
      </w:r>
      <w:r w:rsidR="004559AF">
        <w:t>From 2013 – 2018, the online transportation sector generated as much revenue as the other three sectors combined.</w:t>
      </w:r>
    </w:p>
    <w:p w:rsidR="00AC0EF4" w:rsidRDefault="00AC0EF4" w:rsidP="00AC0EF4">
      <w:pPr>
        <w:pStyle w:val="ListParagraph"/>
        <w:numPr>
          <w:ilvl w:val="0"/>
          <w:numId w:val="2"/>
        </w:numPr>
      </w:pPr>
      <w:r>
        <w:t xml:space="preserve">What was the sample size used in the </w:t>
      </w:r>
      <w:hyperlink r:id="rId6" w:history="1">
        <w:r w:rsidRPr="00AC0EF4">
          <w:rPr>
            <w:rStyle w:val="Hyperlink"/>
          </w:rPr>
          <w:t>NBER working paper 24950</w:t>
        </w:r>
      </w:hyperlink>
      <w:r>
        <w:t xml:space="preserve">? </w:t>
      </w:r>
    </w:p>
    <w:p w:rsidR="00AC0EF4" w:rsidRDefault="00AC0EF4" w:rsidP="00AC0EF4">
      <w:pPr>
        <w:ind w:left="720"/>
      </w:pPr>
      <w:r>
        <w:t xml:space="preserve">ANSWER: </w:t>
      </w:r>
      <w:r w:rsidR="00EA2492">
        <w:t xml:space="preserve">The differences in self-employment rates expressed in Figure 1 are based on examining 5 sources of administrative </w:t>
      </w:r>
      <w:r w:rsidR="00EB73E4">
        <w:t xml:space="preserve">series </w:t>
      </w:r>
      <w:r w:rsidR="00EA2492">
        <w:t>data, and the Detailed Earnings Record, which is an extract from the Social Security Administration’s Master Earnings File database. DER</w:t>
      </w:r>
      <w:r w:rsidR="00EB73E4">
        <w:t xml:space="preserve"> comprises each CPS respondent for whom an encrypted Social Security Number is available. It is used to estimate how many people file Schedules SE and C each year.  </w:t>
      </w:r>
    </w:p>
    <w:p w:rsidR="00746145" w:rsidRDefault="00746145" w:rsidP="00746145">
      <w:pPr>
        <w:pStyle w:val="ListParagraph"/>
        <w:numPr>
          <w:ilvl w:val="0"/>
          <w:numId w:val="2"/>
        </w:numPr>
      </w:pPr>
      <w:r>
        <w:t xml:space="preserve">What exactly is Table 1 telling us </w:t>
      </w:r>
      <w:hyperlink r:id="rId7" w:history="1">
        <w:r w:rsidRPr="00AC0EF4">
          <w:rPr>
            <w:rStyle w:val="Hyperlink"/>
          </w:rPr>
          <w:t>NBER working paper 24950</w:t>
        </w:r>
      </w:hyperlink>
      <w:r>
        <w:t>?</w:t>
      </w:r>
    </w:p>
    <w:p w:rsidR="00746145" w:rsidRDefault="00746145" w:rsidP="00746145">
      <w:pPr>
        <w:pStyle w:val="ListParagraph"/>
      </w:pPr>
    </w:p>
    <w:p w:rsidR="00746145" w:rsidRDefault="00746145" w:rsidP="00746145">
      <w:pPr>
        <w:pStyle w:val="ListParagraph"/>
      </w:pPr>
      <w:r>
        <w:t xml:space="preserve">ANSWER: The </w:t>
      </w:r>
      <w:r w:rsidR="00EA2492">
        <w:t xml:space="preserve">table expresses a </w:t>
      </w:r>
      <w:r>
        <w:t xml:space="preserve">typology of work arrangements. </w:t>
      </w:r>
      <w:r w:rsidRPr="00EA2492">
        <w:rPr>
          <w:i/>
        </w:rPr>
        <w:t>See</w:t>
      </w:r>
      <w:r>
        <w:t xml:space="preserve"> discussion beginning on page 5</w:t>
      </w:r>
      <w:r w:rsidR="00EA2492">
        <w:t>, including work arrangements and their characteristics</w:t>
      </w:r>
      <w:r>
        <w:t xml:space="preserve">. This typology is introduced by the paper in an attempt to “. . . clarify similarities and differences across a variety of ways of organizing work, separated broadly into employee and self-employment arrangements.” </w:t>
      </w:r>
      <w:r w:rsidR="00EA2492">
        <w:t xml:space="preserve">The table also provides where the different work arrangements might appear in household survey or tax data. </w:t>
      </w:r>
    </w:p>
    <w:p w:rsidR="00AC0EF4" w:rsidRDefault="00AC0EF4" w:rsidP="00AC0EF4">
      <w:pPr>
        <w:ind w:left="720"/>
      </w:pPr>
    </w:p>
    <w:p w:rsidR="00AC0EF4" w:rsidRDefault="00AC0EF4" w:rsidP="00AC0EF4">
      <w:pPr>
        <w:ind w:left="720"/>
      </w:pPr>
    </w:p>
    <w:sectPr w:rsidR="00AC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43B8"/>
    <w:multiLevelType w:val="hybridMultilevel"/>
    <w:tmpl w:val="31DC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3697"/>
    <w:multiLevelType w:val="hybridMultilevel"/>
    <w:tmpl w:val="2E64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F4"/>
    <w:rsid w:val="00173E77"/>
    <w:rsid w:val="004559AF"/>
    <w:rsid w:val="00683E09"/>
    <w:rsid w:val="00746145"/>
    <w:rsid w:val="00982E7D"/>
    <w:rsid w:val="00AC0EF4"/>
    <w:rsid w:val="00B50238"/>
    <w:rsid w:val="00EA2492"/>
    <w:rsid w:val="00EB73E4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C3AD4-3CEB-4328-8FF2-9CCA102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er.org/papers/w24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er.org/papers/w24950" TargetMode="External"/><Relationship Id="rId5" Type="http://schemas.openxmlformats.org/officeDocument/2006/relationships/hyperlink" Target="https://www.jpmorganchase.com/corporate/institute/document/institute-ope-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Siefer, Amber (COM)</dc:creator>
  <cp:keywords/>
  <dc:description/>
  <cp:lastModifiedBy>Judd, Jeremy (COM)</cp:lastModifiedBy>
  <cp:revision>2</cp:revision>
  <dcterms:created xsi:type="dcterms:W3CDTF">2018-09-28T22:59:00Z</dcterms:created>
  <dcterms:modified xsi:type="dcterms:W3CDTF">2018-09-28T22:59:00Z</dcterms:modified>
</cp:coreProperties>
</file>