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B3" w:rsidRPr="00833536" w:rsidRDefault="00365A6A" w:rsidP="004030CF">
      <w:pPr>
        <w:pStyle w:val="Heading1"/>
        <w:spacing w:before="0" w:after="120"/>
        <w:ind w:right="720"/>
        <w:rPr>
          <w:rFonts w:ascii="Times New Roman" w:hAnsi="Times New Roman" w:cs="Times New Roman"/>
        </w:rPr>
      </w:pPr>
      <w:r w:rsidRPr="00833536">
        <w:rPr>
          <w:rFonts w:ascii="Times New Roman" w:hAnsi="Times New Roman" w:cs="Times New Roman"/>
        </w:rPr>
        <w:t>Emission Performance Standard Overview</w:t>
      </w:r>
    </w:p>
    <w:p w:rsidR="005C7FB3" w:rsidRPr="00365A6A" w:rsidRDefault="005C7FB3" w:rsidP="004030CF">
      <w:pPr>
        <w:pStyle w:val="BodyText"/>
        <w:spacing w:before="120" w:after="120"/>
        <w:ind w:right="630"/>
        <w:rPr>
          <w:rFonts w:ascii="Times New Roman" w:hAnsi="Times New Roman"/>
          <w:sz w:val="24"/>
          <w:szCs w:val="24"/>
        </w:rPr>
      </w:pPr>
      <w:r w:rsidRPr="00365A6A">
        <w:rPr>
          <w:rFonts w:ascii="Times New Roman" w:hAnsi="Times New Roman"/>
          <w:sz w:val="24"/>
          <w:szCs w:val="24"/>
        </w:rPr>
        <w:t xml:space="preserve">In 2007 Washington established a greenhouse gas (GHG) emission performance standard (EPS) </w:t>
      </w:r>
      <w:r w:rsidR="004C0DD2">
        <w:rPr>
          <w:rFonts w:ascii="Times New Roman" w:hAnsi="Times New Roman"/>
          <w:sz w:val="24"/>
          <w:szCs w:val="24"/>
        </w:rPr>
        <w:t>of 1,100 lb</w:t>
      </w:r>
      <w:proofErr w:type="gramStart"/>
      <w:r w:rsidR="004C0DD2">
        <w:rPr>
          <w:rFonts w:ascii="Times New Roman" w:hAnsi="Times New Roman"/>
          <w:sz w:val="24"/>
          <w:szCs w:val="24"/>
        </w:rPr>
        <w:t>./</w:t>
      </w:r>
      <w:proofErr w:type="gramEnd"/>
      <w:r w:rsidR="004C0DD2">
        <w:rPr>
          <w:rFonts w:ascii="Times New Roman" w:hAnsi="Times New Roman"/>
          <w:sz w:val="24"/>
          <w:szCs w:val="24"/>
        </w:rPr>
        <w:t>MWh CO</w:t>
      </w:r>
      <w:r w:rsidR="004C0DD2">
        <w:rPr>
          <w:rFonts w:ascii="Times New Roman" w:hAnsi="Times New Roman"/>
          <w:sz w:val="24"/>
          <w:szCs w:val="24"/>
          <w:vertAlign w:val="subscript"/>
        </w:rPr>
        <w:t>2</w:t>
      </w:r>
      <w:r w:rsidR="004C0DD2">
        <w:rPr>
          <w:rFonts w:ascii="Times New Roman" w:hAnsi="Times New Roman"/>
          <w:sz w:val="24"/>
          <w:szCs w:val="24"/>
        </w:rPr>
        <w:t xml:space="preserve"> </w:t>
      </w:r>
      <w:r w:rsidRPr="00365A6A">
        <w:rPr>
          <w:rFonts w:ascii="Times New Roman" w:hAnsi="Times New Roman"/>
          <w:sz w:val="24"/>
          <w:szCs w:val="24"/>
        </w:rPr>
        <w:t xml:space="preserve">for baseload electricity generation. The details of the EPS are codified in </w:t>
      </w:r>
      <w:r w:rsidR="00AA6F46">
        <w:rPr>
          <w:rFonts w:ascii="Times New Roman" w:hAnsi="Times New Roman"/>
          <w:sz w:val="24"/>
          <w:szCs w:val="24"/>
        </w:rPr>
        <w:t xml:space="preserve">the </w:t>
      </w:r>
      <w:r w:rsidRPr="00365A6A">
        <w:rPr>
          <w:rFonts w:ascii="Times New Roman" w:hAnsi="Times New Roman"/>
          <w:sz w:val="24"/>
          <w:szCs w:val="24"/>
        </w:rPr>
        <w:t>Revised Code of Washington (RCW) chapter 80.80.</w:t>
      </w:r>
      <w:r w:rsidR="00664F6C">
        <w:rPr>
          <w:rFonts w:ascii="Times New Roman" w:hAnsi="Times New Roman"/>
          <w:sz w:val="24"/>
          <w:szCs w:val="24"/>
        </w:rPr>
        <w:t xml:space="preserve"> In 2012-13, through rulemaking, </w:t>
      </w:r>
      <w:r w:rsidR="00383350">
        <w:rPr>
          <w:rFonts w:ascii="Times New Roman" w:hAnsi="Times New Roman"/>
          <w:sz w:val="24"/>
          <w:szCs w:val="24"/>
        </w:rPr>
        <w:t xml:space="preserve">Commerce </w:t>
      </w:r>
      <w:r w:rsidR="00664F6C">
        <w:rPr>
          <w:rFonts w:ascii="Times New Roman" w:hAnsi="Times New Roman"/>
          <w:sz w:val="24"/>
          <w:szCs w:val="24"/>
        </w:rPr>
        <w:t>update</w:t>
      </w:r>
      <w:r w:rsidR="00383350">
        <w:rPr>
          <w:rFonts w:ascii="Times New Roman" w:hAnsi="Times New Roman"/>
          <w:sz w:val="24"/>
          <w:szCs w:val="24"/>
        </w:rPr>
        <w:t>d</w:t>
      </w:r>
      <w:r w:rsidR="00664F6C">
        <w:rPr>
          <w:rFonts w:ascii="Times New Roman" w:hAnsi="Times New Roman"/>
          <w:sz w:val="24"/>
          <w:szCs w:val="24"/>
        </w:rPr>
        <w:t xml:space="preserve"> the EPS</w:t>
      </w:r>
      <w:r w:rsidR="004C0DD2">
        <w:rPr>
          <w:rFonts w:ascii="Times New Roman" w:hAnsi="Times New Roman"/>
          <w:sz w:val="24"/>
          <w:szCs w:val="24"/>
        </w:rPr>
        <w:t xml:space="preserve"> t</w:t>
      </w:r>
      <w:bookmarkStart w:id="0" w:name="_GoBack"/>
      <w:bookmarkEnd w:id="0"/>
      <w:r w:rsidR="004C0DD2">
        <w:rPr>
          <w:rFonts w:ascii="Times New Roman" w:hAnsi="Times New Roman"/>
          <w:sz w:val="24"/>
          <w:szCs w:val="24"/>
        </w:rPr>
        <w:t>o 970 lb</w:t>
      </w:r>
      <w:proofErr w:type="gramStart"/>
      <w:r w:rsidR="004C0DD2">
        <w:rPr>
          <w:rFonts w:ascii="Times New Roman" w:hAnsi="Times New Roman"/>
          <w:sz w:val="24"/>
          <w:szCs w:val="24"/>
        </w:rPr>
        <w:t>./</w:t>
      </w:r>
      <w:proofErr w:type="gramEnd"/>
      <w:r w:rsidR="004C0DD2">
        <w:rPr>
          <w:rFonts w:ascii="Times New Roman" w:hAnsi="Times New Roman"/>
          <w:sz w:val="24"/>
          <w:szCs w:val="24"/>
        </w:rPr>
        <w:t>MWh CO</w:t>
      </w:r>
      <w:r w:rsidR="004C0DD2">
        <w:rPr>
          <w:rFonts w:ascii="Times New Roman" w:hAnsi="Times New Roman"/>
          <w:sz w:val="24"/>
          <w:szCs w:val="24"/>
          <w:vertAlign w:val="subscript"/>
        </w:rPr>
        <w:t>2</w:t>
      </w:r>
      <w:r w:rsidR="00664F6C">
        <w:rPr>
          <w:rFonts w:ascii="Times New Roman" w:hAnsi="Times New Roman"/>
          <w:sz w:val="24"/>
          <w:szCs w:val="24"/>
        </w:rPr>
        <w:t>.</w:t>
      </w:r>
    </w:p>
    <w:p w:rsidR="005C7FB3" w:rsidRPr="00365A6A" w:rsidRDefault="005C7FB3" w:rsidP="004030CF">
      <w:pPr>
        <w:spacing w:before="120" w:after="120"/>
        <w:ind w:right="630"/>
        <w:rPr>
          <w:rFonts w:ascii="Times New Roman" w:hAnsi="Times New Roman"/>
          <w:sz w:val="24"/>
        </w:rPr>
      </w:pPr>
      <w:r w:rsidRPr="00365A6A">
        <w:rPr>
          <w:rFonts w:ascii="Times New Roman" w:hAnsi="Times New Roman"/>
          <w:sz w:val="24"/>
        </w:rPr>
        <w:t>RCW 80.80.060(1) prohibits utilities from acquiring through long-term contract (5 years or greater in length) electric power produced by a baseload</w:t>
      </w:r>
      <w:r w:rsidRPr="00365A6A">
        <w:rPr>
          <w:rStyle w:val="FootnoteReference"/>
          <w:rFonts w:ascii="Times New Roman" w:hAnsi="Times New Roman"/>
          <w:sz w:val="24"/>
        </w:rPr>
        <w:footnoteReference w:id="1"/>
      </w:r>
      <w:r w:rsidRPr="00365A6A">
        <w:rPr>
          <w:rFonts w:ascii="Times New Roman" w:hAnsi="Times New Roman"/>
          <w:sz w:val="24"/>
        </w:rPr>
        <w:t xml:space="preserve"> generating resource(s) that exceed the emissions performance standard. Short-term contracts of less than 5 years are allowed. Utilities are also prohibited from building or purchasing baseload generation resources that exceed the emission performance standard. </w:t>
      </w:r>
    </w:p>
    <w:p w:rsidR="005C7FB3" w:rsidRPr="008E3092" w:rsidRDefault="00D35EFA" w:rsidP="004030CF">
      <w:pPr>
        <w:ind w:right="630"/>
        <w:rPr>
          <w:rFonts w:ascii="Times New Roman" w:hAnsi="Times New Roman"/>
          <w:sz w:val="24"/>
        </w:rPr>
      </w:pPr>
      <w:r>
        <w:rPr>
          <w:rFonts w:ascii="Times New Roman" w:hAnsi="Times New Roman"/>
          <w:sz w:val="24"/>
        </w:rPr>
        <w:t>For Commerce</w:t>
      </w:r>
      <w:r w:rsidR="00B45DC2">
        <w:rPr>
          <w:rFonts w:ascii="Times New Roman" w:hAnsi="Times New Roman"/>
          <w:sz w:val="24"/>
        </w:rPr>
        <w:t>,</w:t>
      </w:r>
      <w:r>
        <w:rPr>
          <w:rFonts w:ascii="Times New Roman" w:hAnsi="Times New Roman"/>
          <w:sz w:val="24"/>
        </w:rPr>
        <w:t xml:space="preserve"> the relevant</w:t>
      </w:r>
      <w:r w:rsidR="005C7FB3" w:rsidRPr="008E3092">
        <w:rPr>
          <w:rFonts w:ascii="Times New Roman" w:hAnsi="Times New Roman"/>
          <w:sz w:val="24"/>
        </w:rPr>
        <w:t xml:space="preserve"> section of the statute is </w:t>
      </w:r>
      <w:hyperlink r:id="rId8" w:history="1">
        <w:r w:rsidR="005C7FB3" w:rsidRPr="008E3092">
          <w:rPr>
            <w:rStyle w:val="Hyperlink"/>
            <w:rFonts w:ascii="Times New Roman" w:hAnsi="Times New Roman"/>
            <w:sz w:val="24"/>
          </w:rPr>
          <w:t>RCW 80.80.050</w:t>
        </w:r>
      </w:hyperlink>
      <w:r w:rsidR="005C7FB3" w:rsidRPr="008E3092">
        <w:rPr>
          <w:rFonts w:ascii="Times New Roman" w:hAnsi="Times New Roman"/>
          <w:sz w:val="24"/>
        </w:rPr>
        <w:t xml:space="preserve"> which specifies that the Energy Office of the Department of Commerce (Commerce) “shall provide interested parties the opportunity to comment on the development of a survey of new combined cycle natural gas thermal electric generation turbines commercially available and offered for sale by manufacturers and purchased in the United States to determine the average emissions of greenhouse gas for these turbines.”  The turbines referred to in this language are called combined cycle combustion turbines (CCCTs) in the industry, a term used in this document as well.</w:t>
      </w:r>
      <w:r w:rsidR="000325C7">
        <w:rPr>
          <w:rFonts w:ascii="Times New Roman" w:hAnsi="Times New Roman"/>
          <w:sz w:val="24"/>
        </w:rPr>
        <w:t xml:space="preserve"> </w:t>
      </w:r>
    </w:p>
    <w:p w:rsidR="005C7FB3" w:rsidRPr="008E3092" w:rsidRDefault="005C7FB3" w:rsidP="004030CF">
      <w:pPr>
        <w:ind w:right="630"/>
        <w:rPr>
          <w:rFonts w:ascii="Times New Roman" w:hAnsi="Times New Roman"/>
          <w:sz w:val="24"/>
        </w:rPr>
      </w:pPr>
    </w:p>
    <w:p w:rsidR="005C7FB3" w:rsidRPr="008E3092" w:rsidRDefault="00B45DC2" w:rsidP="004030CF">
      <w:pPr>
        <w:ind w:right="630"/>
        <w:rPr>
          <w:rFonts w:ascii="Times New Roman" w:hAnsi="Times New Roman"/>
          <w:sz w:val="24"/>
        </w:rPr>
      </w:pPr>
      <w:r>
        <w:rPr>
          <w:rFonts w:ascii="Times New Roman" w:hAnsi="Times New Roman"/>
          <w:sz w:val="24"/>
        </w:rPr>
        <w:t xml:space="preserve">The law </w:t>
      </w:r>
      <w:r w:rsidR="005C7FB3" w:rsidRPr="008E3092">
        <w:rPr>
          <w:rFonts w:ascii="Times New Roman" w:hAnsi="Times New Roman"/>
          <w:sz w:val="24"/>
        </w:rPr>
        <w:t xml:space="preserve">requires Commerce to report the results of its survey to the Legislature every five years beginning June 30, 2013, and adopt by rule the </w:t>
      </w:r>
      <w:r w:rsidR="000A7778">
        <w:rPr>
          <w:rFonts w:ascii="Times New Roman" w:hAnsi="Times New Roman"/>
          <w:sz w:val="24"/>
        </w:rPr>
        <w:t>“</w:t>
      </w:r>
      <w:r w:rsidR="005C7FB3" w:rsidRPr="008E3092">
        <w:rPr>
          <w:rFonts w:ascii="Times New Roman" w:hAnsi="Times New Roman"/>
          <w:sz w:val="24"/>
        </w:rPr>
        <w:t>average available greenhouse gas emissions output</w:t>
      </w:r>
      <w:r w:rsidR="000A7778">
        <w:rPr>
          <w:rFonts w:ascii="Times New Roman" w:hAnsi="Times New Roman"/>
          <w:sz w:val="24"/>
        </w:rPr>
        <w:t>”</w:t>
      </w:r>
      <w:r w:rsidR="005C7FB3" w:rsidRPr="008E3092">
        <w:rPr>
          <w:rFonts w:ascii="Times New Roman" w:hAnsi="Times New Roman"/>
          <w:sz w:val="24"/>
        </w:rPr>
        <w:t xml:space="preserve"> every five years beginning five years after July 22, 2007. If the average </w:t>
      </w:r>
      <w:r w:rsidR="000325C7">
        <w:rPr>
          <w:rFonts w:ascii="Times New Roman" w:hAnsi="Times New Roman"/>
          <w:sz w:val="24"/>
        </w:rPr>
        <w:t xml:space="preserve">available </w:t>
      </w:r>
      <w:r w:rsidR="005C7FB3" w:rsidRPr="008E3092">
        <w:rPr>
          <w:rFonts w:ascii="Times New Roman" w:hAnsi="Times New Roman"/>
          <w:sz w:val="24"/>
        </w:rPr>
        <w:t>greenhouse gas emissions output is lower than the current standard, it becomes the new standard for the state.</w:t>
      </w:r>
      <w:r w:rsidR="000325C7">
        <w:rPr>
          <w:rFonts w:ascii="Times New Roman" w:hAnsi="Times New Roman"/>
          <w:sz w:val="24"/>
        </w:rPr>
        <w:t xml:space="preserve"> For both brevity and clarity Commerce refers to </w:t>
      </w:r>
      <w:r w:rsidR="00876DB8">
        <w:rPr>
          <w:rFonts w:ascii="Times New Roman" w:hAnsi="Times New Roman"/>
          <w:sz w:val="24"/>
        </w:rPr>
        <w:t>the adopted or pro</w:t>
      </w:r>
      <w:r>
        <w:rPr>
          <w:rFonts w:ascii="Times New Roman" w:hAnsi="Times New Roman"/>
          <w:sz w:val="24"/>
        </w:rPr>
        <w:t>po</w:t>
      </w:r>
      <w:r w:rsidR="00876DB8">
        <w:rPr>
          <w:rFonts w:ascii="Times New Roman" w:hAnsi="Times New Roman"/>
          <w:sz w:val="24"/>
        </w:rPr>
        <w:t>sed rule as the emission performance standard (EPS)</w:t>
      </w:r>
      <w:r w:rsidR="00D35EFA">
        <w:rPr>
          <w:rFonts w:ascii="Times New Roman" w:hAnsi="Times New Roman"/>
          <w:sz w:val="24"/>
        </w:rPr>
        <w:t>.</w:t>
      </w:r>
    </w:p>
    <w:p w:rsidR="005C7FB3" w:rsidRDefault="005C7FB3" w:rsidP="004030CF">
      <w:pPr>
        <w:ind w:right="630"/>
        <w:rPr>
          <w:rFonts w:ascii="Times New Roman" w:hAnsi="Times New Roman"/>
          <w:sz w:val="24"/>
        </w:rPr>
      </w:pPr>
    </w:p>
    <w:p w:rsidR="00F22D2F" w:rsidRDefault="000325C7" w:rsidP="004030CF">
      <w:pPr>
        <w:ind w:right="630"/>
        <w:rPr>
          <w:rFonts w:ascii="Times New Roman" w:hAnsi="Times New Roman"/>
          <w:color w:val="FF0000"/>
          <w:sz w:val="24"/>
        </w:rPr>
      </w:pPr>
      <w:r>
        <w:rPr>
          <w:rFonts w:ascii="Times New Roman" w:hAnsi="Times New Roman"/>
          <w:sz w:val="24"/>
        </w:rPr>
        <w:t xml:space="preserve">A key word in the third paragraph above is “survey”. Commerce initially interpreted the word to mean the entire analytical process undertaken to establish the </w:t>
      </w:r>
      <w:r w:rsidR="00876DB8">
        <w:rPr>
          <w:rFonts w:ascii="Times New Roman" w:hAnsi="Times New Roman"/>
          <w:sz w:val="24"/>
        </w:rPr>
        <w:t>establish the EPS, but during the 2012-13 rulemaking</w:t>
      </w:r>
      <w:r w:rsidR="00D35EFA">
        <w:rPr>
          <w:rFonts w:ascii="Times New Roman" w:hAnsi="Times New Roman"/>
          <w:sz w:val="24"/>
        </w:rPr>
        <w:t xml:space="preserve"> (2012 rulemaking from here on)</w:t>
      </w:r>
      <w:r w:rsidR="00876DB8">
        <w:rPr>
          <w:rFonts w:ascii="Times New Roman" w:hAnsi="Times New Roman"/>
          <w:sz w:val="24"/>
        </w:rPr>
        <w:t xml:space="preserve"> process realized that it was helpful in communicating with stakeholders to present the analytical process as being comprised of two </w:t>
      </w:r>
      <w:r w:rsidR="00D35EFA">
        <w:rPr>
          <w:rFonts w:ascii="Times New Roman" w:hAnsi="Times New Roman"/>
          <w:sz w:val="24"/>
        </w:rPr>
        <w:t xml:space="preserve">separate </w:t>
      </w:r>
      <w:r w:rsidR="00876DB8">
        <w:rPr>
          <w:rFonts w:ascii="Times New Roman" w:hAnsi="Times New Roman"/>
          <w:sz w:val="24"/>
        </w:rPr>
        <w:t xml:space="preserve">parts. The first part is the </w:t>
      </w:r>
      <w:r w:rsidR="00D35EFA">
        <w:rPr>
          <w:rFonts w:ascii="Times New Roman" w:hAnsi="Times New Roman"/>
          <w:sz w:val="24"/>
        </w:rPr>
        <w:t xml:space="preserve">actual </w:t>
      </w:r>
      <w:r w:rsidR="00876DB8">
        <w:rPr>
          <w:rFonts w:ascii="Times New Roman" w:hAnsi="Times New Roman"/>
          <w:sz w:val="24"/>
        </w:rPr>
        <w:t>survey</w:t>
      </w:r>
      <w:r w:rsidR="00D35EFA">
        <w:rPr>
          <w:rFonts w:ascii="Times New Roman" w:hAnsi="Times New Roman"/>
          <w:sz w:val="24"/>
        </w:rPr>
        <w:t>, or accounting,</w:t>
      </w:r>
      <w:r w:rsidR="00876DB8">
        <w:rPr>
          <w:rFonts w:ascii="Times New Roman" w:hAnsi="Times New Roman"/>
          <w:sz w:val="24"/>
        </w:rPr>
        <w:t xml:space="preserve"> of </w:t>
      </w:r>
      <w:r w:rsidR="00D35EFA">
        <w:rPr>
          <w:rFonts w:ascii="Times New Roman" w:hAnsi="Times New Roman"/>
          <w:sz w:val="24"/>
        </w:rPr>
        <w:t xml:space="preserve">the </w:t>
      </w:r>
      <w:r w:rsidR="00876DB8">
        <w:rPr>
          <w:rFonts w:ascii="Times New Roman" w:hAnsi="Times New Roman"/>
          <w:sz w:val="24"/>
        </w:rPr>
        <w:t xml:space="preserve">CCCTs that utilities are purchasing and installing, the second part is the series of calculations required to determine </w:t>
      </w:r>
      <w:r w:rsidR="00D35EFA">
        <w:rPr>
          <w:rFonts w:ascii="Times New Roman" w:hAnsi="Times New Roman"/>
          <w:sz w:val="24"/>
        </w:rPr>
        <w:t xml:space="preserve">the </w:t>
      </w:r>
      <w:r w:rsidR="00876DB8">
        <w:rPr>
          <w:rFonts w:ascii="Times New Roman" w:hAnsi="Times New Roman"/>
          <w:sz w:val="24"/>
        </w:rPr>
        <w:t>EPS value</w:t>
      </w:r>
      <w:r w:rsidR="00D35EFA">
        <w:rPr>
          <w:rFonts w:ascii="Times New Roman" w:hAnsi="Times New Roman"/>
          <w:sz w:val="24"/>
        </w:rPr>
        <w:t>, and is referred</w:t>
      </w:r>
      <w:r w:rsidR="009D79B9">
        <w:rPr>
          <w:rFonts w:ascii="Times New Roman" w:hAnsi="Times New Roman"/>
          <w:sz w:val="24"/>
        </w:rPr>
        <w:t xml:space="preserve"> to as the EPS calculator. Both</w:t>
      </w:r>
      <w:r w:rsidR="00D35EFA">
        <w:rPr>
          <w:rFonts w:ascii="Times New Roman" w:hAnsi="Times New Roman"/>
          <w:sz w:val="24"/>
        </w:rPr>
        <w:t xml:space="preserve"> the EPS survey and calculator are descri</w:t>
      </w:r>
      <w:r w:rsidR="009D79B9">
        <w:rPr>
          <w:rFonts w:ascii="Times New Roman" w:hAnsi="Times New Roman"/>
          <w:sz w:val="24"/>
        </w:rPr>
        <w:t>b</w:t>
      </w:r>
      <w:r w:rsidR="00D35EFA">
        <w:rPr>
          <w:rFonts w:ascii="Times New Roman" w:hAnsi="Times New Roman"/>
          <w:sz w:val="24"/>
        </w:rPr>
        <w:t>ed in detail below.</w:t>
      </w:r>
    </w:p>
    <w:p w:rsidR="00F22D2F" w:rsidRPr="00F22D2F" w:rsidRDefault="00F22D2F" w:rsidP="004030CF">
      <w:pPr>
        <w:ind w:right="630"/>
        <w:rPr>
          <w:rFonts w:ascii="Times New Roman" w:hAnsi="Times New Roman"/>
          <w:color w:val="FF0000"/>
          <w:sz w:val="24"/>
        </w:rPr>
      </w:pPr>
    </w:p>
    <w:p w:rsidR="000E185B" w:rsidRPr="000E185B" w:rsidRDefault="00DA7CCE" w:rsidP="004030CF">
      <w:pPr>
        <w:spacing w:after="120"/>
        <w:ind w:right="630"/>
        <w:rPr>
          <w:rFonts w:ascii="Times New Roman" w:hAnsi="Times New Roman"/>
          <w:b/>
          <w:sz w:val="24"/>
        </w:rPr>
      </w:pPr>
      <w:r w:rsidRPr="00DA7CCE">
        <w:rPr>
          <w:rFonts w:ascii="Times New Roman" w:hAnsi="Times New Roman"/>
          <w:b/>
          <w:sz w:val="24"/>
        </w:rPr>
        <w:t>Methodology: Developing the EPS Survey</w:t>
      </w:r>
    </w:p>
    <w:p w:rsidR="005C7FB3" w:rsidRPr="008E3092" w:rsidRDefault="005C7FB3" w:rsidP="004030CF">
      <w:pPr>
        <w:ind w:right="630"/>
        <w:rPr>
          <w:rFonts w:ascii="Times New Roman" w:hAnsi="Times New Roman"/>
          <w:sz w:val="24"/>
        </w:rPr>
      </w:pPr>
      <w:r w:rsidRPr="008E3092">
        <w:rPr>
          <w:rFonts w:ascii="Times New Roman" w:hAnsi="Times New Roman"/>
          <w:sz w:val="24"/>
        </w:rPr>
        <w:t>The language in RCW 80.80.050 is very general</w:t>
      </w:r>
      <w:r w:rsidR="00613922">
        <w:rPr>
          <w:rFonts w:ascii="Times New Roman" w:hAnsi="Times New Roman"/>
          <w:sz w:val="24"/>
        </w:rPr>
        <w:t>,</w:t>
      </w:r>
      <w:r w:rsidRPr="008E3092">
        <w:rPr>
          <w:rFonts w:ascii="Times New Roman" w:hAnsi="Times New Roman"/>
          <w:sz w:val="24"/>
        </w:rPr>
        <w:t xml:space="preserve"> and </w:t>
      </w:r>
      <w:r w:rsidR="00D35EFA">
        <w:rPr>
          <w:rFonts w:ascii="Times New Roman" w:hAnsi="Times New Roman"/>
          <w:sz w:val="24"/>
        </w:rPr>
        <w:t>during the 2012</w:t>
      </w:r>
      <w:r w:rsidR="000A7778">
        <w:rPr>
          <w:rFonts w:ascii="Times New Roman" w:hAnsi="Times New Roman"/>
          <w:sz w:val="24"/>
        </w:rPr>
        <w:t xml:space="preserve"> rulemaking </w:t>
      </w:r>
      <w:r w:rsidRPr="008E3092">
        <w:rPr>
          <w:rFonts w:ascii="Times New Roman" w:hAnsi="Times New Roman"/>
          <w:sz w:val="24"/>
        </w:rPr>
        <w:t xml:space="preserve">Commerce has had to interpret several keywords. </w:t>
      </w:r>
    </w:p>
    <w:p w:rsidR="005C7FB3" w:rsidRPr="003D3CA1" w:rsidRDefault="005C7FB3" w:rsidP="004030CF">
      <w:pPr>
        <w:pStyle w:val="ListParagraph"/>
        <w:numPr>
          <w:ilvl w:val="0"/>
          <w:numId w:val="4"/>
        </w:numPr>
        <w:spacing w:line="264" w:lineRule="auto"/>
        <w:ind w:right="630"/>
      </w:pPr>
      <w:r w:rsidRPr="003D3CA1">
        <w:lastRenderedPageBreak/>
        <w:t xml:space="preserve">The word “new” is interpreted as meaning CCCTs offered for </w:t>
      </w:r>
      <w:r w:rsidR="00FC6A69">
        <w:t>sale</w:t>
      </w:r>
      <w:r w:rsidRPr="003D3CA1">
        <w:t xml:space="preserve"> by their vendors during </w:t>
      </w:r>
      <w:r w:rsidR="004C0DD2">
        <w:t xml:space="preserve">five </w:t>
      </w:r>
      <w:r w:rsidRPr="003D3CA1">
        <w:t>calendar year</w:t>
      </w:r>
      <w:r w:rsidR="00E97332">
        <w:t>s</w:t>
      </w:r>
      <w:r w:rsidR="004C0DD2">
        <w:t xml:space="preserve"> prior to the start of a rulemaking</w:t>
      </w:r>
      <w:r w:rsidRPr="003D3CA1">
        <w:t xml:space="preserve">. </w:t>
      </w:r>
      <w:r w:rsidR="004C0DD2">
        <w:t>These CCCTs represent the new mac</w:t>
      </w:r>
      <w:r w:rsidR="00876DB8">
        <w:t xml:space="preserve">hines that utilities and independent power producers </w:t>
      </w:r>
      <w:r w:rsidR="004C0DD2">
        <w:t>are investing in.</w:t>
      </w:r>
    </w:p>
    <w:p w:rsidR="005C7FB3" w:rsidRPr="003D3CA1" w:rsidRDefault="005C7FB3" w:rsidP="004030CF">
      <w:pPr>
        <w:pStyle w:val="ListParagraph"/>
        <w:numPr>
          <w:ilvl w:val="0"/>
          <w:numId w:val="4"/>
        </w:numPr>
        <w:spacing w:line="264" w:lineRule="auto"/>
        <w:ind w:right="630"/>
      </w:pPr>
      <w:r w:rsidRPr="003D3CA1">
        <w:t xml:space="preserve">“Commercially available” is interpreted as meaning CCCTs available in the U.S. and designed to generate alternating current at 60 hertz, but does not include CCCTs made </w:t>
      </w:r>
      <w:r w:rsidR="00FC6A69">
        <w:t xml:space="preserve">by other manufacturers </w:t>
      </w:r>
      <w:r w:rsidRPr="003D3CA1">
        <w:t xml:space="preserve">under license from GE and Siemens, as these are copies of existing GE and Siemens products. </w:t>
      </w:r>
    </w:p>
    <w:p w:rsidR="005C7FB3" w:rsidRDefault="005C7FB3" w:rsidP="004030CF">
      <w:pPr>
        <w:pStyle w:val="ListParagraph"/>
        <w:numPr>
          <w:ilvl w:val="0"/>
          <w:numId w:val="4"/>
        </w:numPr>
        <w:spacing w:line="264" w:lineRule="auto"/>
        <w:ind w:right="630"/>
      </w:pPr>
      <w:r w:rsidRPr="003D3CA1">
        <w:t>“Purchased”</w:t>
      </w:r>
      <w:r w:rsidR="00AB2DDC">
        <w:t xml:space="preserve"> </w:t>
      </w:r>
      <w:r w:rsidRPr="003D3CA1">
        <w:t>is interpreted as meaning CCCTs that had been purchased by utilities or independent power p</w:t>
      </w:r>
      <w:r w:rsidR="00E97332">
        <w:t xml:space="preserve">roducers in the U.S. </w:t>
      </w:r>
      <w:r w:rsidR="00FC6A69" w:rsidRPr="003D3CA1">
        <w:t>and were installed or were in the process of being installed</w:t>
      </w:r>
      <w:r w:rsidR="00FC6A69">
        <w:t xml:space="preserve"> </w:t>
      </w:r>
      <w:r w:rsidR="00E97332">
        <w:t xml:space="preserve">during </w:t>
      </w:r>
      <w:r w:rsidR="001C2C76">
        <w:t>the five calendar years prior to the start of rulemaking</w:t>
      </w:r>
      <w:r w:rsidRPr="003D3CA1">
        <w:t>. These constraints limited the number of CCCTs that could be included in the survey, as several new machines were not commercially available or had not been purchased</w:t>
      </w:r>
      <w:r w:rsidR="00AA6F46">
        <w:t xml:space="preserve"> and</w:t>
      </w:r>
      <w:r w:rsidR="00462801">
        <w:t xml:space="preserve"> installed</w:t>
      </w:r>
      <w:r w:rsidR="006D4610">
        <w:rPr>
          <w:rStyle w:val="FootnoteReference"/>
        </w:rPr>
        <w:footnoteReference w:id="2"/>
      </w:r>
      <w:r w:rsidRPr="003D3CA1">
        <w:t xml:space="preserve">. The same applies for a large number of older and very small CCCTs that </w:t>
      </w:r>
      <w:r w:rsidR="00AB2DDC">
        <w:t xml:space="preserve">while technically </w:t>
      </w:r>
      <w:r w:rsidR="000A7778">
        <w:t>still offered</w:t>
      </w:r>
      <w:r w:rsidR="00AB2DDC">
        <w:t xml:space="preserve"> </w:t>
      </w:r>
      <w:r w:rsidR="000A7778">
        <w:t>by manufacturers</w:t>
      </w:r>
      <w:r w:rsidR="00AB2DDC">
        <w:t xml:space="preserve"> are not currently being</w:t>
      </w:r>
      <w:r w:rsidRPr="003D3CA1">
        <w:t xml:space="preserve"> purchased </w:t>
      </w:r>
      <w:r w:rsidR="00AA6F46">
        <w:t xml:space="preserve">and installed </w:t>
      </w:r>
      <w:r w:rsidRPr="003D3CA1">
        <w:t xml:space="preserve">by utilities. </w:t>
      </w:r>
    </w:p>
    <w:p w:rsidR="004C0DD2" w:rsidRPr="004C0DD2" w:rsidRDefault="004C0DD2" w:rsidP="004030CF">
      <w:pPr>
        <w:pStyle w:val="ListParagraph"/>
        <w:ind w:right="630"/>
      </w:pPr>
    </w:p>
    <w:p w:rsidR="001C2C76" w:rsidRDefault="001C2C76" w:rsidP="004030CF">
      <w:pPr>
        <w:ind w:right="630"/>
        <w:rPr>
          <w:rFonts w:ascii="Times New Roman" w:hAnsi="Times New Roman"/>
          <w:sz w:val="24"/>
        </w:rPr>
      </w:pPr>
      <w:r>
        <w:rPr>
          <w:rFonts w:ascii="Times New Roman" w:hAnsi="Times New Roman"/>
          <w:sz w:val="24"/>
        </w:rPr>
        <w:t>Based on</w:t>
      </w:r>
      <w:r w:rsidR="000E185B">
        <w:rPr>
          <w:rFonts w:ascii="Times New Roman" w:hAnsi="Times New Roman"/>
          <w:sz w:val="24"/>
        </w:rPr>
        <w:t xml:space="preserve"> the above interpretations of the statute language</w:t>
      </w:r>
      <w:r w:rsidR="00613922">
        <w:rPr>
          <w:rFonts w:ascii="Times New Roman" w:hAnsi="Times New Roman"/>
          <w:sz w:val="24"/>
        </w:rPr>
        <w:t>,</w:t>
      </w:r>
      <w:r w:rsidR="000E185B">
        <w:rPr>
          <w:rFonts w:ascii="Times New Roman" w:hAnsi="Times New Roman"/>
          <w:sz w:val="24"/>
        </w:rPr>
        <w:t xml:space="preserve"> Commerce developed a survey of CCCTs </w:t>
      </w:r>
      <w:r w:rsidR="006C6916">
        <w:rPr>
          <w:rFonts w:ascii="Times New Roman" w:hAnsi="Times New Roman"/>
          <w:sz w:val="24"/>
        </w:rPr>
        <w:t>purchased and installed</w:t>
      </w:r>
      <w:r w:rsidR="000E185B">
        <w:rPr>
          <w:rFonts w:ascii="Times New Roman" w:hAnsi="Times New Roman"/>
          <w:sz w:val="24"/>
        </w:rPr>
        <w:t xml:space="preserve"> in the United States </w:t>
      </w:r>
      <w:r w:rsidR="006C6916">
        <w:rPr>
          <w:rFonts w:ascii="Times New Roman" w:hAnsi="Times New Roman"/>
          <w:sz w:val="24"/>
        </w:rPr>
        <w:t xml:space="preserve">during the five years preceding the start of the rulemaking. </w:t>
      </w:r>
      <w:r w:rsidR="00D35EFA">
        <w:rPr>
          <w:rFonts w:ascii="Times New Roman" w:hAnsi="Times New Roman"/>
          <w:sz w:val="24"/>
        </w:rPr>
        <w:t xml:space="preserve">During the 2012 rulemaking </w:t>
      </w:r>
      <w:r w:rsidR="006C6916">
        <w:rPr>
          <w:rFonts w:ascii="Times New Roman" w:hAnsi="Times New Roman"/>
          <w:sz w:val="24"/>
        </w:rPr>
        <w:t xml:space="preserve">Commerce used web searches and </w:t>
      </w:r>
      <w:r w:rsidR="00D35EFA">
        <w:rPr>
          <w:rFonts w:ascii="Times New Roman" w:hAnsi="Times New Roman"/>
          <w:sz w:val="24"/>
        </w:rPr>
        <w:t xml:space="preserve">market </w:t>
      </w:r>
      <w:r w:rsidR="006C6916">
        <w:rPr>
          <w:rFonts w:ascii="Times New Roman" w:hAnsi="Times New Roman"/>
          <w:sz w:val="24"/>
        </w:rPr>
        <w:t xml:space="preserve">reports </w:t>
      </w:r>
      <w:r w:rsidR="00D35EFA">
        <w:rPr>
          <w:rFonts w:ascii="Times New Roman" w:hAnsi="Times New Roman"/>
          <w:sz w:val="24"/>
        </w:rPr>
        <w:t xml:space="preserve">found </w:t>
      </w:r>
      <w:r w:rsidR="006C6916">
        <w:rPr>
          <w:rFonts w:ascii="Times New Roman" w:hAnsi="Times New Roman"/>
          <w:sz w:val="24"/>
        </w:rPr>
        <w:t xml:space="preserve">in the engineering journal Gas Turbine World (GTW) to establish </w:t>
      </w:r>
      <w:r>
        <w:rPr>
          <w:rFonts w:ascii="Times New Roman" w:hAnsi="Times New Roman"/>
          <w:sz w:val="24"/>
        </w:rPr>
        <w:t xml:space="preserve">the </w:t>
      </w:r>
      <w:r w:rsidR="00D35EFA">
        <w:rPr>
          <w:rFonts w:ascii="Times New Roman" w:hAnsi="Times New Roman"/>
          <w:sz w:val="24"/>
        </w:rPr>
        <w:t xml:space="preserve">number and </w:t>
      </w:r>
      <w:r>
        <w:rPr>
          <w:rFonts w:ascii="Times New Roman" w:hAnsi="Times New Roman"/>
          <w:sz w:val="24"/>
        </w:rPr>
        <w:t>types of</w:t>
      </w:r>
      <w:r w:rsidR="00876DB8">
        <w:rPr>
          <w:rFonts w:ascii="Times New Roman" w:hAnsi="Times New Roman"/>
          <w:sz w:val="24"/>
        </w:rPr>
        <w:t xml:space="preserve"> CCCTs </w:t>
      </w:r>
      <w:r w:rsidR="006C6916">
        <w:rPr>
          <w:rFonts w:ascii="Times New Roman" w:hAnsi="Times New Roman"/>
          <w:sz w:val="24"/>
        </w:rPr>
        <w:t>utilities and independent power producers were purchasing and installing.</w:t>
      </w:r>
      <w:r>
        <w:rPr>
          <w:rFonts w:ascii="Times New Roman" w:hAnsi="Times New Roman"/>
          <w:sz w:val="24"/>
        </w:rPr>
        <w:t xml:space="preserve"> The national survey categorized CCCTs by manufacturer, model, capacity when possible, and plant architecture. This categorization allowed Commerce to </w:t>
      </w:r>
      <w:r w:rsidR="00D35EFA">
        <w:rPr>
          <w:rFonts w:ascii="Times New Roman" w:hAnsi="Times New Roman"/>
          <w:sz w:val="24"/>
        </w:rPr>
        <w:t xml:space="preserve">link heat rate and efficiency with </w:t>
      </w:r>
      <w:r>
        <w:rPr>
          <w:rFonts w:ascii="Times New Roman" w:hAnsi="Times New Roman"/>
          <w:sz w:val="24"/>
        </w:rPr>
        <w:t>the CCCTs in the survey.</w:t>
      </w:r>
      <w:r w:rsidR="00161309">
        <w:rPr>
          <w:rFonts w:ascii="Times New Roman" w:hAnsi="Times New Roman"/>
          <w:sz w:val="24"/>
        </w:rPr>
        <w:t xml:space="preserve"> See Appendix A for </w:t>
      </w:r>
      <w:r w:rsidR="00BA3408">
        <w:rPr>
          <w:rFonts w:ascii="Times New Roman" w:hAnsi="Times New Roman"/>
          <w:sz w:val="24"/>
        </w:rPr>
        <w:t>definitions of terms</w:t>
      </w:r>
      <w:r w:rsidR="00161309">
        <w:rPr>
          <w:rFonts w:ascii="Times New Roman" w:hAnsi="Times New Roman"/>
          <w:sz w:val="24"/>
        </w:rPr>
        <w:t xml:space="preserve"> used in establishing the ESP </w:t>
      </w:r>
      <w:r w:rsidR="00BA3408">
        <w:rPr>
          <w:rFonts w:ascii="Times New Roman" w:hAnsi="Times New Roman"/>
          <w:sz w:val="24"/>
        </w:rPr>
        <w:t>survey</w:t>
      </w:r>
      <w:r w:rsidR="00161309">
        <w:rPr>
          <w:rFonts w:ascii="Times New Roman" w:hAnsi="Times New Roman"/>
          <w:sz w:val="24"/>
        </w:rPr>
        <w:t>.</w:t>
      </w:r>
    </w:p>
    <w:p w:rsidR="006C6916" w:rsidRDefault="006C6916" w:rsidP="004030CF">
      <w:pPr>
        <w:ind w:right="630"/>
        <w:rPr>
          <w:rFonts w:ascii="Times New Roman" w:hAnsi="Times New Roman"/>
          <w:sz w:val="24"/>
        </w:rPr>
      </w:pPr>
    </w:p>
    <w:p w:rsidR="00365A6A" w:rsidRDefault="005C7FB3" w:rsidP="004030CF">
      <w:pPr>
        <w:ind w:right="630"/>
        <w:rPr>
          <w:rFonts w:ascii="Times New Roman" w:hAnsi="Times New Roman"/>
          <w:sz w:val="24"/>
        </w:rPr>
      </w:pPr>
      <w:r w:rsidRPr="008E3092">
        <w:rPr>
          <w:rFonts w:ascii="Times New Roman" w:hAnsi="Times New Roman"/>
          <w:sz w:val="24"/>
        </w:rPr>
        <w:t xml:space="preserve">During the development of the </w:t>
      </w:r>
      <w:r w:rsidR="00D35EFA">
        <w:rPr>
          <w:rFonts w:ascii="Times New Roman" w:hAnsi="Times New Roman"/>
          <w:sz w:val="24"/>
        </w:rPr>
        <w:t>2012 rulemaking</w:t>
      </w:r>
      <w:r w:rsidR="004C0DD2">
        <w:rPr>
          <w:rFonts w:ascii="Times New Roman" w:hAnsi="Times New Roman"/>
          <w:sz w:val="24"/>
        </w:rPr>
        <w:t xml:space="preserve"> Commerce held</w:t>
      </w:r>
      <w:r w:rsidRPr="008E3092">
        <w:rPr>
          <w:rFonts w:ascii="Times New Roman" w:hAnsi="Times New Roman"/>
          <w:sz w:val="24"/>
        </w:rPr>
        <w:t xml:space="preserve"> </w:t>
      </w:r>
      <w:r w:rsidR="004C0DD2">
        <w:rPr>
          <w:rFonts w:ascii="Times New Roman" w:hAnsi="Times New Roman"/>
          <w:sz w:val="24"/>
        </w:rPr>
        <w:t>several s</w:t>
      </w:r>
      <w:r w:rsidRPr="008E3092">
        <w:rPr>
          <w:rFonts w:ascii="Times New Roman" w:hAnsi="Times New Roman"/>
          <w:sz w:val="24"/>
        </w:rPr>
        <w:t xml:space="preserve">takeholder meetings. A technical stakeholder subgroup </w:t>
      </w:r>
      <w:r w:rsidR="004C0DD2">
        <w:rPr>
          <w:rFonts w:ascii="Times New Roman" w:hAnsi="Times New Roman"/>
          <w:sz w:val="24"/>
        </w:rPr>
        <w:t xml:space="preserve">was </w:t>
      </w:r>
      <w:r w:rsidR="00D35EFA">
        <w:rPr>
          <w:rFonts w:ascii="Times New Roman" w:hAnsi="Times New Roman"/>
          <w:sz w:val="24"/>
        </w:rPr>
        <w:t xml:space="preserve">also </w:t>
      </w:r>
      <w:r w:rsidR="004C0DD2">
        <w:rPr>
          <w:rFonts w:ascii="Times New Roman" w:hAnsi="Times New Roman"/>
          <w:sz w:val="24"/>
        </w:rPr>
        <w:t>created</w:t>
      </w:r>
      <w:r w:rsidRPr="008E3092">
        <w:rPr>
          <w:rFonts w:ascii="Times New Roman" w:hAnsi="Times New Roman"/>
          <w:sz w:val="24"/>
        </w:rPr>
        <w:t xml:space="preserve"> to </w:t>
      </w:r>
      <w:r w:rsidR="00D35EFA">
        <w:rPr>
          <w:rFonts w:ascii="Times New Roman" w:hAnsi="Times New Roman"/>
          <w:sz w:val="24"/>
        </w:rPr>
        <w:t xml:space="preserve">assist in the </w:t>
      </w:r>
      <w:r w:rsidR="004C0DD2">
        <w:rPr>
          <w:rFonts w:ascii="Times New Roman" w:hAnsi="Times New Roman"/>
          <w:sz w:val="24"/>
        </w:rPr>
        <w:t>develop</w:t>
      </w:r>
      <w:r w:rsidR="00D35EFA">
        <w:rPr>
          <w:rFonts w:ascii="Times New Roman" w:hAnsi="Times New Roman"/>
          <w:sz w:val="24"/>
        </w:rPr>
        <w:t>ment of</w:t>
      </w:r>
      <w:r w:rsidR="004C0DD2">
        <w:rPr>
          <w:rFonts w:ascii="Times New Roman" w:hAnsi="Times New Roman"/>
          <w:sz w:val="24"/>
        </w:rPr>
        <w:t xml:space="preserve"> the</w:t>
      </w:r>
      <w:r w:rsidRPr="008E3092">
        <w:rPr>
          <w:rFonts w:ascii="Times New Roman" w:hAnsi="Times New Roman"/>
          <w:sz w:val="24"/>
        </w:rPr>
        <w:t xml:space="preserve"> EPS survey </w:t>
      </w:r>
      <w:r w:rsidR="006D4610">
        <w:rPr>
          <w:rFonts w:ascii="Times New Roman" w:hAnsi="Times New Roman"/>
          <w:sz w:val="24"/>
        </w:rPr>
        <w:t xml:space="preserve">and calculator </w:t>
      </w:r>
      <w:r w:rsidRPr="008E3092">
        <w:rPr>
          <w:rFonts w:ascii="Times New Roman" w:hAnsi="Times New Roman"/>
          <w:sz w:val="24"/>
        </w:rPr>
        <w:t>methodology.</w:t>
      </w:r>
      <w:r w:rsidR="00AB2DDC">
        <w:rPr>
          <w:rFonts w:ascii="Times New Roman" w:hAnsi="Times New Roman"/>
          <w:sz w:val="24"/>
        </w:rPr>
        <w:t xml:space="preserve"> </w:t>
      </w:r>
      <w:r w:rsidR="00876DB8" w:rsidRPr="008E3092">
        <w:rPr>
          <w:rFonts w:ascii="Times New Roman" w:hAnsi="Times New Roman"/>
          <w:sz w:val="24"/>
        </w:rPr>
        <w:t>Stakeholders were encouraged to comment on the survey methodology</w:t>
      </w:r>
      <w:r w:rsidR="00876DB8">
        <w:rPr>
          <w:rFonts w:ascii="Times New Roman" w:hAnsi="Times New Roman"/>
          <w:sz w:val="24"/>
        </w:rPr>
        <w:t xml:space="preserve"> during the 2012 rulemaking</w:t>
      </w:r>
      <w:r w:rsidR="00876DB8" w:rsidRPr="008E3092">
        <w:rPr>
          <w:rFonts w:ascii="Times New Roman" w:hAnsi="Times New Roman"/>
          <w:sz w:val="24"/>
        </w:rPr>
        <w:t>.</w:t>
      </w:r>
      <w:r w:rsidR="00876DB8">
        <w:rPr>
          <w:rFonts w:ascii="Times New Roman" w:hAnsi="Times New Roman"/>
          <w:sz w:val="24"/>
        </w:rPr>
        <w:t xml:space="preserve"> </w:t>
      </w:r>
      <w:r w:rsidR="004C0DD2">
        <w:rPr>
          <w:rFonts w:ascii="Times New Roman" w:hAnsi="Times New Roman"/>
          <w:sz w:val="24"/>
        </w:rPr>
        <w:t>Commerce</w:t>
      </w:r>
      <w:r w:rsidR="00AB2DDC" w:rsidRPr="008E3092">
        <w:rPr>
          <w:rFonts w:ascii="Times New Roman" w:hAnsi="Times New Roman"/>
          <w:sz w:val="24"/>
        </w:rPr>
        <w:t xml:space="preserve"> responded to the comments and</w:t>
      </w:r>
      <w:r w:rsidR="00613922">
        <w:rPr>
          <w:rFonts w:ascii="Times New Roman" w:hAnsi="Times New Roman"/>
          <w:sz w:val="24"/>
        </w:rPr>
        <w:t>,</w:t>
      </w:r>
      <w:r w:rsidR="00AB2DDC" w:rsidRPr="008E3092">
        <w:rPr>
          <w:rFonts w:ascii="Times New Roman" w:hAnsi="Times New Roman"/>
          <w:sz w:val="24"/>
        </w:rPr>
        <w:t xml:space="preserve"> </w:t>
      </w:r>
      <w:r w:rsidR="00876DB8">
        <w:rPr>
          <w:rFonts w:ascii="Times New Roman" w:hAnsi="Times New Roman"/>
          <w:sz w:val="24"/>
        </w:rPr>
        <w:t>in some cases</w:t>
      </w:r>
      <w:r w:rsidR="00613922">
        <w:rPr>
          <w:rFonts w:ascii="Times New Roman" w:hAnsi="Times New Roman"/>
          <w:sz w:val="24"/>
        </w:rPr>
        <w:t>,</w:t>
      </w:r>
      <w:r w:rsidR="00876DB8">
        <w:rPr>
          <w:rFonts w:ascii="Times New Roman" w:hAnsi="Times New Roman"/>
          <w:sz w:val="24"/>
        </w:rPr>
        <w:t xml:space="preserve"> </w:t>
      </w:r>
      <w:r w:rsidR="00AB2DDC" w:rsidRPr="008E3092">
        <w:rPr>
          <w:rFonts w:ascii="Times New Roman" w:hAnsi="Times New Roman"/>
          <w:sz w:val="24"/>
        </w:rPr>
        <w:t>incorporated changes into the rulemaking process</w:t>
      </w:r>
      <w:r w:rsidR="00876DB8">
        <w:rPr>
          <w:rFonts w:ascii="Times New Roman" w:hAnsi="Times New Roman"/>
          <w:sz w:val="24"/>
        </w:rPr>
        <w:t>.</w:t>
      </w:r>
      <w:r w:rsidR="00AB2DDC" w:rsidRPr="008E3092">
        <w:rPr>
          <w:rFonts w:ascii="Times New Roman" w:hAnsi="Times New Roman"/>
          <w:sz w:val="24"/>
        </w:rPr>
        <w:t xml:space="preserve"> </w:t>
      </w:r>
    </w:p>
    <w:p w:rsidR="00876DB8" w:rsidRPr="008E3092" w:rsidRDefault="00876DB8" w:rsidP="004030CF">
      <w:pPr>
        <w:ind w:right="630"/>
        <w:rPr>
          <w:rFonts w:ascii="Times New Roman" w:hAnsi="Times New Roman"/>
          <w:sz w:val="24"/>
        </w:rPr>
      </w:pPr>
    </w:p>
    <w:p w:rsidR="004C0DD2" w:rsidRPr="00DA7CCE" w:rsidRDefault="00DA7CCE" w:rsidP="004030CF">
      <w:pPr>
        <w:spacing w:after="120"/>
        <w:ind w:right="630"/>
        <w:rPr>
          <w:rFonts w:ascii="Times New Roman" w:hAnsi="Times New Roman"/>
          <w:b/>
          <w:sz w:val="24"/>
        </w:rPr>
      </w:pPr>
      <w:r w:rsidRPr="00DA7CCE">
        <w:rPr>
          <w:rFonts w:ascii="Times New Roman" w:hAnsi="Times New Roman"/>
          <w:b/>
          <w:sz w:val="24"/>
        </w:rPr>
        <w:t>Methodology: Developing the EPS Calculator</w:t>
      </w:r>
    </w:p>
    <w:p w:rsidR="00787E1A" w:rsidRDefault="00DA7CCE" w:rsidP="004030CF">
      <w:pPr>
        <w:ind w:right="630"/>
        <w:rPr>
          <w:rFonts w:ascii="Times New Roman" w:hAnsi="Times New Roman"/>
          <w:sz w:val="24"/>
        </w:rPr>
      </w:pPr>
      <w:r>
        <w:rPr>
          <w:rFonts w:ascii="Times New Roman" w:hAnsi="Times New Roman"/>
          <w:sz w:val="24"/>
        </w:rPr>
        <w:t>Manufacturers of CCCTs publish capacity, heat rate, efficiency and other parameters on their websites and in engineer</w:t>
      </w:r>
      <w:r w:rsidR="00D35EFA">
        <w:rPr>
          <w:rFonts w:ascii="Times New Roman" w:hAnsi="Times New Roman"/>
          <w:sz w:val="24"/>
        </w:rPr>
        <w:t>ing journals. During the 2012</w:t>
      </w:r>
      <w:r>
        <w:rPr>
          <w:rFonts w:ascii="Times New Roman" w:hAnsi="Times New Roman"/>
          <w:sz w:val="24"/>
        </w:rPr>
        <w:t xml:space="preserve"> rulemaking Commerce used performance parameters published in </w:t>
      </w:r>
      <w:r w:rsidR="006C6916">
        <w:rPr>
          <w:rFonts w:ascii="Times New Roman" w:hAnsi="Times New Roman"/>
          <w:sz w:val="24"/>
        </w:rPr>
        <w:t xml:space="preserve">GTW </w:t>
      </w:r>
      <w:r>
        <w:rPr>
          <w:rFonts w:ascii="Times New Roman" w:hAnsi="Times New Roman"/>
          <w:sz w:val="24"/>
        </w:rPr>
        <w:t xml:space="preserve">to </w:t>
      </w:r>
      <w:r w:rsidR="00161309">
        <w:rPr>
          <w:rFonts w:ascii="Times New Roman" w:hAnsi="Times New Roman"/>
          <w:sz w:val="24"/>
        </w:rPr>
        <w:t>guide its’ analysis, but quickly realized that emission performance parameters published by CCCT manufacturers are optimistic under the most ideal circumstances</w:t>
      </w:r>
      <w:r>
        <w:rPr>
          <w:rFonts w:ascii="Times New Roman" w:hAnsi="Times New Roman"/>
          <w:sz w:val="24"/>
        </w:rPr>
        <w:t xml:space="preserve">. </w:t>
      </w:r>
      <w:r w:rsidR="00787E1A">
        <w:rPr>
          <w:rFonts w:ascii="Times New Roman" w:hAnsi="Times New Roman"/>
          <w:sz w:val="24"/>
        </w:rPr>
        <w:t xml:space="preserve">Commerce </w:t>
      </w:r>
      <w:r w:rsidR="00161309">
        <w:rPr>
          <w:rFonts w:ascii="Times New Roman" w:hAnsi="Times New Roman"/>
          <w:sz w:val="24"/>
        </w:rPr>
        <w:t>concluded</w:t>
      </w:r>
      <w:r w:rsidR="00365A6A" w:rsidRPr="008E3092">
        <w:rPr>
          <w:rFonts w:ascii="Times New Roman" w:hAnsi="Times New Roman"/>
          <w:sz w:val="24"/>
        </w:rPr>
        <w:t xml:space="preserve"> that </w:t>
      </w:r>
      <w:r w:rsidR="00787E1A">
        <w:rPr>
          <w:rFonts w:ascii="Times New Roman" w:hAnsi="Times New Roman"/>
          <w:sz w:val="24"/>
        </w:rPr>
        <w:t xml:space="preserve">efficiency and emission performance parameters </w:t>
      </w:r>
      <w:r w:rsidR="00161309">
        <w:rPr>
          <w:rFonts w:ascii="Times New Roman" w:hAnsi="Times New Roman"/>
          <w:sz w:val="24"/>
        </w:rPr>
        <w:t xml:space="preserve">published by GTW </w:t>
      </w:r>
      <w:r w:rsidR="00BA3408">
        <w:rPr>
          <w:rFonts w:ascii="Times New Roman" w:hAnsi="Times New Roman"/>
          <w:sz w:val="24"/>
        </w:rPr>
        <w:t>would have to be adjusted to</w:t>
      </w:r>
      <w:r w:rsidR="00365A6A" w:rsidRPr="008E3092">
        <w:rPr>
          <w:rFonts w:ascii="Times New Roman" w:hAnsi="Times New Roman"/>
          <w:sz w:val="24"/>
        </w:rPr>
        <w:t xml:space="preserve"> reflect</w:t>
      </w:r>
      <w:r w:rsidR="00BA3408">
        <w:rPr>
          <w:rFonts w:ascii="Times New Roman" w:hAnsi="Times New Roman"/>
          <w:sz w:val="24"/>
        </w:rPr>
        <w:t xml:space="preserve"> the</w:t>
      </w:r>
      <w:r w:rsidR="00365A6A" w:rsidRPr="008E3092">
        <w:rPr>
          <w:rFonts w:ascii="Times New Roman" w:hAnsi="Times New Roman"/>
          <w:sz w:val="24"/>
        </w:rPr>
        <w:t xml:space="preserve"> </w:t>
      </w:r>
      <w:r w:rsidR="006D4610">
        <w:rPr>
          <w:rFonts w:ascii="Times New Roman" w:hAnsi="Times New Roman"/>
          <w:sz w:val="24"/>
        </w:rPr>
        <w:t xml:space="preserve">challenging </w:t>
      </w:r>
      <w:r w:rsidR="00365A6A" w:rsidRPr="00A85392">
        <w:rPr>
          <w:rFonts w:ascii="Times New Roman" w:hAnsi="Times New Roman"/>
          <w:sz w:val="24"/>
        </w:rPr>
        <w:t xml:space="preserve">real world </w:t>
      </w:r>
      <w:r w:rsidR="00876DB8">
        <w:rPr>
          <w:rFonts w:ascii="Times New Roman" w:hAnsi="Times New Roman"/>
          <w:sz w:val="24"/>
        </w:rPr>
        <w:t>operation</w:t>
      </w:r>
      <w:r w:rsidR="00FC6A69">
        <w:rPr>
          <w:rFonts w:ascii="Times New Roman" w:hAnsi="Times New Roman"/>
          <w:sz w:val="24"/>
        </w:rPr>
        <w:t xml:space="preserve">. </w:t>
      </w:r>
    </w:p>
    <w:p w:rsidR="00365A6A" w:rsidRDefault="00787E1A" w:rsidP="004030CF">
      <w:pPr>
        <w:ind w:right="630"/>
        <w:rPr>
          <w:rFonts w:ascii="Times New Roman" w:hAnsi="Times New Roman"/>
          <w:sz w:val="24"/>
        </w:rPr>
      </w:pPr>
      <w:r>
        <w:rPr>
          <w:rFonts w:ascii="Times New Roman" w:hAnsi="Times New Roman"/>
          <w:sz w:val="24"/>
        </w:rPr>
        <w:br/>
        <w:t>Determining r</w:t>
      </w:r>
      <w:r w:rsidR="00365A6A" w:rsidRPr="008E3092">
        <w:rPr>
          <w:rFonts w:ascii="Times New Roman" w:hAnsi="Times New Roman"/>
          <w:sz w:val="24"/>
        </w:rPr>
        <w:t>eal world operation</w:t>
      </w:r>
      <w:r w:rsidR="00A85392">
        <w:rPr>
          <w:rFonts w:ascii="Times New Roman" w:hAnsi="Times New Roman"/>
          <w:sz w:val="24"/>
        </w:rPr>
        <w:t xml:space="preserve">al </w:t>
      </w:r>
      <w:r>
        <w:rPr>
          <w:rFonts w:ascii="Times New Roman" w:hAnsi="Times New Roman"/>
          <w:sz w:val="24"/>
        </w:rPr>
        <w:t xml:space="preserve">efficiency and emission </w:t>
      </w:r>
      <w:r w:rsidR="00A85392">
        <w:rPr>
          <w:rFonts w:ascii="Times New Roman" w:hAnsi="Times New Roman"/>
          <w:sz w:val="24"/>
        </w:rPr>
        <w:t>performance</w:t>
      </w:r>
      <w:r>
        <w:rPr>
          <w:rFonts w:ascii="Times New Roman" w:hAnsi="Times New Roman"/>
          <w:sz w:val="24"/>
        </w:rPr>
        <w:t xml:space="preserve"> parameters for</w:t>
      </w:r>
      <w:r w:rsidR="00365A6A" w:rsidRPr="008E3092">
        <w:rPr>
          <w:rFonts w:ascii="Times New Roman" w:hAnsi="Times New Roman"/>
          <w:sz w:val="24"/>
        </w:rPr>
        <w:t xml:space="preserve"> CCCTs </w:t>
      </w:r>
      <w:r w:rsidR="00365A6A" w:rsidRPr="008E3092">
        <w:rPr>
          <w:rFonts w:ascii="Times New Roman" w:hAnsi="Times New Roman"/>
          <w:sz w:val="24"/>
        </w:rPr>
        <w:lastRenderedPageBreak/>
        <w:t xml:space="preserve">meant </w:t>
      </w:r>
      <w:r w:rsidR="00BA3408">
        <w:rPr>
          <w:rFonts w:ascii="Times New Roman" w:hAnsi="Times New Roman"/>
          <w:sz w:val="24"/>
        </w:rPr>
        <w:t>examin</w:t>
      </w:r>
      <w:r w:rsidR="00365A6A" w:rsidRPr="008E3092">
        <w:rPr>
          <w:rFonts w:ascii="Times New Roman" w:hAnsi="Times New Roman"/>
          <w:sz w:val="24"/>
        </w:rPr>
        <w:t xml:space="preserve">ing </w:t>
      </w:r>
      <w:r w:rsidR="00A85392">
        <w:rPr>
          <w:rFonts w:ascii="Times New Roman" w:hAnsi="Times New Roman"/>
          <w:sz w:val="24"/>
        </w:rPr>
        <w:t>a number of</w:t>
      </w:r>
      <w:r w:rsidR="00ED533C">
        <w:rPr>
          <w:rFonts w:ascii="Times New Roman" w:hAnsi="Times New Roman"/>
          <w:sz w:val="24"/>
        </w:rPr>
        <w:t xml:space="preserve"> adjustment</w:t>
      </w:r>
      <w:r>
        <w:rPr>
          <w:rFonts w:ascii="Times New Roman" w:hAnsi="Times New Roman"/>
          <w:sz w:val="24"/>
        </w:rPr>
        <w:t>, or derating</w:t>
      </w:r>
      <w:r w:rsidR="00ED533C">
        <w:rPr>
          <w:rFonts w:ascii="Times New Roman" w:hAnsi="Times New Roman"/>
          <w:sz w:val="24"/>
        </w:rPr>
        <w:t xml:space="preserve"> factors</w:t>
      </w:r>
      <w:r w:rsidR="00FA7492">
        <w:rPr>
          <w:rFonts w:ascii="Times New Roman" w:hAnsi="Times New Roman"/>
          <w:sz w:val="24"/>
        </w:rPr>
        <w:t xml:space="preserve">. </w:t>
      </w:r>
      <w:r w:rsidR="00BA3408">
        <w:rPr>
          <w:rFonts w:ascii="Times New Roman" w:hAnsi="Times New Roman"/>
          <w:sz w:val="24"/>
        </w:rPr>
        <w:t xml:space="preserve">A technical group comprised of state personnel, utility power engineers and representatives from environmental organizations developed the adjustment factors. </w:t>
      </w:r>
      <w:r w:rsidR="00FA7492">
        <w:rPr>
          <w:rFonts w:ascii="Times New Roman" w:hAnsi="Times New Roman"/>
          <w:sz w:val="24"/>
        </w:rPr>
        <w:t xml:space="preserve">The </w:t>
      </w:r>
      <w:r w:rsidR="00BA3408">
        <w:rPr>
          <w:rFonts w:ascii="Times New Roman" w:hAnsi="Times New Roman"/>
          <w:sz w:val="24"/>
        </w:rPr>
        <w:t xml:space="preserve">CCCT </w:t>
      </w:r>
      <w:r w:rsidR="00FA7492">
        <w:rPr>
          <w:rFonts w:ascii="Times New Roman" w:hAnsi="Times New Roman"/>
          <w:sz w:val="24"/>
        </w:rPr>
        <w:t xml:space="preserve">adjustment factors </w:t>
      </w:r>
      <w:r w:rsidR="00ED533C">
        <w:rPr>
          <w:rFonts w:ascii="Times New Roman" w:hAnsi="Times New Roman"/>
          <w:sz w:val="24"/>
        </w:rPr>
        <w:t>account for</w:t>
      </w:r>
      <w:r w:rsidR="00365A6A" w:rsidRPr="008E3092">
        <w:rPr>
          <w:rFonts w:ascii="Times New Roman" w:hAnsi="Times New Roman"/>
          <w:sz w:val="24"/>
        </w:rPr>
        <w:t xml:space="preserve"> </w:t>
      </w:r>
      <w:r w:rsidR="006D4610">
        <w:rPr>
          <w:rFonts w:ascii="Times New Roman" w:hAnsi="Times New Roman"/>
          <w:sz w:val="24"/>
        </w:rPr>
        <w:t>decli</w:t>
      </w:r>
      <w:r w:rsidR="00F02822">
        <w:rPr>
          <w:rFonts w:ascii="Times New Roman" w:hAnsi="Times New Roman"/>
          <w:sz w:val="24"/>
        </w:rPr>
        <w:t>ning plant efficiency due to ag</w:t>
      </w:r>
      <w:r w:rsidR="006D4610">
        <w:rPr>
          <w:rFonts w:ascii="Times New Roman" w:hAnsi="Times New Roman"/>
          <w:sz w:val="24"/>
        </w:rPr>
        <w:t xml:space="preserve">ing, </w:t>
      </w:r>
      <w:r w:rsidR="00365A6A" w:rsidRPr="008E3092">
        <w:rPr>
          <w:rFonts w:ascii="Times New Roman" w:hAnsi="Times New Roman"/>
          <w:sz w:val="24"/>
        </w:rPr>
        <w:t xml:space="preserve">partial </w:t>
      </w:r>
      <w:r w:rsidR="00F02822">
        <w:rPr>
          <w:rFonts w:ascii="Times New Roman" w:hAnsi="Times New Roman"/>
          <w:sz w:val="24"/>
        </w:rPr>
        <w:t xml:space="preserve">and variable </w:t>
      </w:r>
      <w:r w:rsidR="00365A6A" w:rsidRPr="008E3092">
        <w:rPr>
          <w:rFonts w:ascii="Times New Roman" w:hAnsi="Times New Roman"/>
          <w:sz w:val="24"/>
        </w:rPr>
        <w:t>load operation, frequent stops and starts</w:t>
      </w:r>
      <w:r w:rsidR="00ED533C">
        <w:rPr>
          <w:rFonts w:ascii="Times New Roman" w:hAnsi="Times New Roman"/>
          <w:sz w:val="24"/>
        </w:rPr>
        <w:t xml:space="preserve"> for load following</w:t>
      </w:r>
      <w:r w:rsidR="00365A6A" w:rsidRPr="008E3092">
        <w:rPr>
          <w:rFonts w:ascii="Times New Roman" w:hAnsi="Times New Roman"/>
          <w:sz w:val="24"/>
        </w:rPr>
        <w:t xml:space="preserve">, and several other operational or design factors that have an impact on CCCT </w:t>
      </w:r>
      <w:r w:rsidR="00FA7492">
        <w:rPr>
          <w:rFonts w:ascii="Times New Roman" w:hAnsi="Times New Roman"/>
          <w:sz w:val="24"/>
        </w:rPr>
        <w:t xml:space="preserve">performance and </w:t>
      </w:r>
      <w:r w:rsidR="00365A6A" w:rsidRPr="008E3092">
        <w:rPr>
          <w:rFonts w:ascii="Times New Roman" w:hAnsi="Times New Roman"/>
          <w:sz w:val="24"/>
        </w:rPr>
        <w:t xml:space="preserve">GHG emission rates. The survey </w:t>
      </w:r>
      <w:r w:rsidR="00BA3408">
        <w:rPr>
          <w:rFonts w:ascii="Times New Roman" w:hAnsi="Times New Roman"/>
          <w:sz w:val="24"/>
        </w:rPr>
        <w:t xml:space="preserve">and calculator </w:t>
      </w:r>
      <w:r w:rsidR="00365A6A" w:rsidRPr="008E3092">
        <w:rPr>
          <w:rFonts w:ascii="Times New Roman" w:hAnsi="Times New Roman"/>
          <w:sz w:val="24"/>
        </w:rPr>
        <w:t>method</w:t>
      </w:r>
      <w:r w:rsidR="00BA3408">
        <w:rPr>
          <w:rFonts w:ascii="Times New Roman" w:hAnsi="Times New Roman"/>
          <w:sz w:val="24"/>
        </w:rPr>
        <w:t>ologies</w:t>
      </w:r>
      <w:r w:rsidR="00365A6A" w:rsidRPr="008E3092">
        <w:rPr>
          <w:rFonts w:ascii="Times New Roman" w:hAnsi="Times New Roman"/>
          <w:sz w:val="24"/>
        </w:rPr>
        <w:t xml:space="preserve"> outlined </w:t>
      </w:r>
      <w:r w:rsidR="00A85392">
        <w:rPr>
          <w:rFonts w:ascii="Times New Roman" w:hAnsi="Times New Roman"/>
          <w:sz w:val="24"/>
        </w:rPr>
        <w:t>below</w:t>
      </w:r>
      <w:r w:rsidR="00BA3408">
        <w:rPr>
          <w:rFonts w:ascii="Times New Roman" w:hAnsi="Times New Roman"/>
          <w:sz w:val="24"/>
        </w:rPr>
        <w:t xml:space="preserve"> are</w:t>
      </w:r>
      <w:r w:rsidR="00365A6A" w:rsidRPr="008E3092">
        <w:rPr>
          <w:rFonts w:ascii="Times New Roman" w:hAnsi="Times New Roman"/>
          <w:sz w:val="24"/>
        </w:rPr>
        <w:t xml:space="preserve"> </w:t>
      </w:r>
      <w:r w:rsidR="00A85392">
        <w:rPr>
          <w:rFonts w:ascii="Times New Roman" w:hAnsi="Times New Roman"/>
          <w:sz w:val="24"/>
        </w:rPr>
        <w:t xml:space="preserve">similar to </w:t>
      </w:r>
      <w:r w:rsidR="00365A6A" w:rsidRPr="008E3092">
        <w:rPr>
          <w:rFonts w:ascii="Times New Roman" w:hAnsi="Times New Roman"/>
          <w:sz w:val="24"/>
        </w:rPr>
        <w:t xml:space="preserve">the step-wise approach used by the </w:t>
      </w:r>
      <w:r w:rsidR="00A85392">
        <w:rPr>
          <w:rFonts w:ascii="Times New Roman" w:hAnsi="Times New Roman"/>
          <w:sz w:val="24"/>
        </w:rPr>
        <w:t>Environmental Protection Agency,</w:t>
      </w:r>
      <w:r w:rsidR="00365A6A" w:rsidRPr="008E3092">
        <w:rPr>
          <w:rFonts w:ascii="Times New Roman" w:hAnsi="Times New Roman"/>
          <w:sz w:val="24"/>
        </w:rPr>
        <w:t xml:space="preserve"> </w:t>
      </w:r>
      <w:r w:rsidR="00ED533C">
        <w:rPr>
          <w:rFonts w:ascii="Times New Roman" w:hAnsi="Times New Roman"/>
          <w:sz w:val="24"/>
        </w:rPr>
        <w:t>and N</w:t>
      </w:r>
      <w:r w:rsidR="00AC6A4E">
        <w:rPr>
          <w:rFonts w:ascii="Times New Roman" w:hAnsi="Times New Roman"/>
          <w:sz w:val="24"/>
        </w:rPr>
        <w:t xml:space="preserve">ew York State </w:t>
      </w:r>
      <w:r w:rsidR="004C2C03">
        <w:rPr>
          <w:rFonts w:ascii="Times New Roman" w:hAnsi="Times New Roman"/>
          <w:sz w:val="24"/>
        </w:rPr>
        <w:t>Department of Environmental</w:t>
      </w:r>
      <w:r w:rsidR="00AC6A4E">
        <w:rPr>
          <w:rFonts w:ascii="Times New Roman" w:hAnsi="Times New Roman"/>
          <w:sz w:val="24"/>
        </w:rPr>
        <w:t xml:space="preserve"> </w:t>
      </w:r>
      <w:r w:rsidR="004C2C03">
        <w:rPr>
          <w:rFonts w:ascii="Times New Roman" w:hAnsi="Times New Roman"/>
          <w:sz w:val="24"/>
        </w:rPr>
        <w:t>Conservation</w:t>
      </w:r>
      <w:r w:rsidR="00A85392">
        <w:rPr>
          <w:rFonts w:ascii="Times New Roman" w:hAnsi="Times New Roman"/>
          <w:sz w:val="24"/>
        </w:rPr>
        <w:t xml:space="preserve">, and others </w:t>
      </w:r>
      <w:r w:rsidR="00365A6A" w:rsidRPr="008E3092">
        <w:rPr>
          <w:rFonts w:ascii="Times New Roman" w:hAnsi="Times New Roman"/>
          <w:sz w:val="24"/>
        </w:rPr>
        <w:t xml:space="preserve">for calculating real world GHG emission factors from the </w:t>
      </w:r>
      <w:r w:rsidR="00FA7492">
        <w:rPr>
          <w:rFonts w:ascii="Times New Roman" w:hAnsi="Times New Roman"/>
          <w:sz w:val="24"/>
        </w:rPr>
        <w:t>new and clean gross efficiency</w:t>
      </w:r>
      <w:r w:rsidR="00365A6A" w:rsidRPr="008E3092">
        <w:rPr>
          <w:rFonts w:ascii="Times New Roman" w:hAnsi="Times New Roman"/>
          <w:sz w:val="24"/>
        </w:rPr>
        <w:t xml:space="preserve"> values published by manufacturers. </w:t>
      </w:r>
      <w:r w:rsidR="00BA3408">
        <w:rPr>
          <w:rFonts w:ascii="Times New Roman" w:hAnsi="Times New Roman"/>
          <w:sz w:val="24"/>
        </w:rPr>
        <w:t>See Appendix A for definitions of terms used in establishing the ESP survey.</w:t>
      </w:r>
      <w:bookmarkStart w:id="1" w:name="_Toc337548388"/>
    </w:p>
    <w:bookmarkEnd w:id="1"/>
    <w:p w:rsidR="006E5824" w:rsidRPr="00563224" w:rsidRDefault="003D3CA1" w:rsidP="004030CF">
      <w:pPr>
        <w:pStyle w:val="Heading1"/>
        <w:ind w:right="630"/>
        <w:rPr>
          <w:rFonts w:ascii="Times New Roman" w:hAnsi="Times New Roman" w:cs="Times New Roman"/>
          <w:szCs w:val="26"/>
        </w:rPr>
      </w:pPr>
      <w:r w:rsidRPr="00170F8F">
        <w:rPr>
          <w:rFonts w:ascii="Times New Roman" w:hAnsi="Times New Roman" w:cs="Times New Roman"/>
          <w:szCs w:val="26"/>
        </w:rPr>
        <w:t xml:space="preserve">The 2017-18 Emission </w:t>
      </w:r>
      <w:r w:rsidR="006E5824" w:rsidRPr="00170F8F">
        <w:rPr>
          <w:rFonts w:ascii="Times New Roman" w:hAnsi="Times New Roman" w:cs="Times New Roman"/>
          <w:szCs w:val="26"/>
        </w:rPr>
        <w:t>Performance</w:t>
      </w:r>
      <w:r w:rsidRPr="00170F8F">
        <w:rPr>
          <w:rFonts w:ascii="Times New Roman" w:hAnsi="Times New Roman" w:cs="Times New Roman"/>
          <w:szCs w:val="26"/>
        </w:rPr>
        <w:t xml:space="preserve"> Standard Survey</w:t>
      </w:r>
      <w:r w:rsidR="00596A1D" w:rsidRPr="00170F8F">
        <w:rPr>
          <w:rFonts w:ascii="Times New Roman" w:hAnsi="Times New Roman" w:cs="Times New Roman"/>
          <w:szCs w:val="26"/>
        </w:rPr>
        <w:t xml:space="preserve"> and Calculator</w:t>
      </w:r>
    </w:p>
    <w:p w:rsidR="006E5824" w:rsidRPr="00B40DB9" w:rsidRDefault="006E5824" w:rsidP="004030CF">
      <w:pPr>
        <w:spacing w:before="120" w:after="120"/>
        <w:ind w:right="630"/>
        <w:rPr>
          <w:rFonts w:ascii="Times New Roman" w:hAnsi="Times New Roman"/>
          <w:sz w:val="24"/>
        </w:rPr>
      </w:pPr>
      <w:r w:rsidRPr="00B40DB9">
        <w:rPr>
          <w:rFonts w:ascii="Times New Roman" w:hAnsi="Times New Roman"/>
          <w:sz w:val="24"/>
        </w:rPr>
        <w:t>The 2017-18 (2017 from this point on) EPS survey follows the 2012-13 methodology with some evolutionary changes. For the current EPS cycle</w:t>
      </w:r>
      <w:r w:rsidR="002365D0">
        <w:rPr>
          <w:rFonts w:ascii="Times New Roman" w:hAnsi="Times New Roman"/>
          <w:sz w:val="24"/>
        </w:rPr>
        <w:t>, we ch</w:t>
      </w:r>
      <w:r w:rsidRPr="00B40DB9">
        <w:rPr>
          <w:rFonts w:ascii="Times New Roman" w:hAnsi="Times New Roman"/>
          <w:sz w:val="24"/>
        </w:rPr>
        <w:t xml:space="preserve">ose </w:t>
      </w:r>
      <w:r w:rsidR="0070119F">
        <w:rPr>
          <w:rFonts w:ascii="Times New Roman" w:hAnsi="Times New Roman"/>
          <w:sz w:val="24"/>
        </w:rPr>
        <w:t xml:space="preserve">for presentation purposes </w:t>
      </w:r>
      <w:r w:rsidRPr="00B40DB9">
        <w:rPr>
          <w:rFonts w:ascii="Times New Roman" w:hAnsi="Times New Roman"/>
          <w:sz w:val="24"/>
        </w:rPr>
        <w:t xml:space="preserve">to make a distinction between the survey of new, commercially available and purchased CCCTs and the EPS calculator where specific heat rates and adjustment factors are applied to arrive at the EPS value that the regulatory agencies will reference in their WAC. </w:t>
      </w:r>
      <w:r w:rsidR="00B40DB9" w:rsidRPr="00B40DB9">
        <w:rPr>
          <w:rFonts w:ascii="Times New Roman" w:hAnsi="Times New Roman"/>
          <w:sz w:val="24"/>
        </w:rPr>
        <w:t>The 2017 survey and EPS calculator are discussed briefly below.</w:t>
      </w:r>
    </w:p>
    <w:p w:rsidR="006E5824" w:rsidRPr="00170F8F" w:rsidRDefault="00B40DB9" w:rsidP="004030CF">
      <w:pPr>
        <w:spacing w:before="120" w:after="120"/>
        <w:ind w:right="630"/>
        <w:rPr>
          <w:rFonts w:ascii="Times New Roman" w:hAnsi="Times New Roman"/>
          <w:b/>
          <w:sz w:val="24"/>
        </w:rPr>
      </w:pPr>
      <w:r w:rsidRPr="00170F8F">
        <w:rPr>
          <w:rFonts w:ascii="Times New Roman" w:hAnsi="Times New Roman"/>
          <w:b/>
          <w:sz w:val="24"/>
        </w:rPr>
        <w:t>2017 CCCT Survey</w:t>
      </w:r>
      <w:r w:rsidR="006E5824" w:rsidRPr="00170F8F">
        <w:rPr>
          <w:rFonts w:ascii="Times New Roman" w:hAnsi="Times New Roman"/>
          <w:b/>
          <w:sz w:val="24"/>
        </w:rPr>
        <w:t xml:space="preserve"> </w:t>
      </w:r>
    </w:p>
    <w:p w:rsidR="00B40DB9" w:rsidRPr="00B40DB9" w:rsidRDefault="00B40DB9" w:rsidP="004030CF">
      <w:pPr>
        <w:pStyle w:val="ListParagraph"/>
        <w:numPr>
          <w:ilvl w:val="0"/>
          <w:numId w:val="5"/>
        </w:numPr>
        <w:spacing w:line="264" w:lineRule="auto"/>
        <w:ind w:right="630"/>
      </w:pPr>
      <w:r w:rsidRPr="00B40DB9">
        <w:t>We surveyed new CCCTs purchased and installed in the U.S. from 2012 through mid-2017. This information was provided by the three primary CCCT suppliers at the request of Pacific Corp.</w:t>
      </w:r>
      <w:r w:rsidR="00C806E7">
        <w:t xml:space="preserve"> </w:t>
      </w:r>
      <w:r w:rsidR="00C369BB">
        <w:t>The 2012 survey was derived from Gas Turbine Worl</w:t>
      </w:r>
      <w:r w:rsidR="00BA3408">
        <w:t>d reports and website searching</w:t>
      </w:r>
      <w:r w:rsidR="002365D0">
        <w:t>,</w:t>
      </w:r>
      <w:r w:rsidR="00BA3408">
        <w:t xml:space="preserve"> and was likely not as thorough as the 2017 survey</w:t>
      </w:r>
      <w:r w:rsidR="0070119F">
        <w:t>.</w:t>
      </w:r>
    </w:p>
    <w:p w:rsidR="006E5824" w:rsidRPr="00B40DB9" w:rsidRDefault="00B40DB9" w:rsidP="004030CF">
      <w:pPr>
        <w:pStyle w:val="ListParagraph"/>
        <w:numPr>
          <w:ilvl w:val="0"/>
          <w:numId w:val="5"/>
        </w:numPr>
        <w:spacing w:line="264" w:lineRule="auto"/>
        <w:ind w:right="630"/>
      </w:pPr>
      <w:r w:rsidRPr="00B40DB9">
        <w:t xml:space="preserve">There were 77 new CCCT installations reported during 2012-17 which is summarized in the </w:t>
      </w:r>
      <w:r w:rsidR="004D047D">
        <w:t>Table</w:t>
      </w:r>
      <w:r w:rsidRPr="00B40DB9">
        <w:t xml:space="preserve"> </w:t>
      </w:r>
      <w:r w:rsidR="004030CF">
        <w:t xml:space="preserve">1 </w:t>
      </w:r>
      <w:r w:rsidRPr="00B40DB9">
        <w:t>below.</w:t>
      </w:r>
      <w:r w:rsidR="00C806E7">
        <w:t xml:space="preserve"> The CCCTs are broadly </w:t>
      </w:r>
      <w:r w:rsidR="00170F8F">
        <w:t>grouped in three categories:</w:t>
      </w:r>
      <w:r w:rsidR="00C806E7">
        <w:t xml:space="preserve"> Aero</w:t>
      </w:r>
      <w:r w:rsidR="00170F8F">
        <w:t>-derivative</w:t>
      </w:r>
      <w:r w:rsidR="00C806E7">
        <w:t xml:space="preserve">, </w:t>
      </w:r>
      <w:r w:rsidR="002365D0">
        <w:t>M</w:t>
      </w:r>
      <w:r w:rsidR="00C806E7">
        <w:t xml:space="preserve">id-sized and </w:t>
      </w:r>
      <w:r w:rsidR="00632711">
        <w:t xml:space="preserve">mid-level </w:t>
      </w:r>
      <w:r w:rsidR="00C806E7">
        <w:t xml:space="preserve">technology, </w:t>
      </w:r>
      <w:r w:rsidR="002365D0">
        <w:t xml:space="preserve">and </w:t>
      </w:r>
      <w:r w:rsidR="00C806E7">
        <w:t>Larger and advanced technology.</w:t>
      </w:r>
      <w:r w:rsidR="00632711">
        <w:t xml:space="preserve"> </w:t>
      </w:r>
    </w:p>
    <w:p w:rsidR="00BA3408" w:rsidRDefault="00C806E7" w:rsidP="004030CF">
      <w:pPr>
        <w:pStyle w:val="ListParagraph"/>
        <w:numPr>
          <w:ilvl w:val="0"/>
          <w:numId w:val="5"/>
        </w:numPr>
        <w:spacing w:before="120" w:after="120" w:line="264" w:lineRule="auto"/>
        <w:ind w:right="630"/>
      </w:pPr>
      <w:r>
        <w:t>The</w:t>
      </w:r>
      <w:r w:rsidR="00B40DB9" w:rsidRPr="00B40DB9">
        <w:t xml:space="preserve"> </w:t>
      </w:r>
      <w:r>
        <w:t>national survey</w:t>
      </w:r>
      <w:r w:rsidR="00B40DB9" w:rsidRPr="00B40DB9">
        <w:t xml:space="preserve"> </w:t>
      </w:r>
      <w:r>
        <w:t>represent</w:t>
      </w:r>
      <w:r w:rsidR="00B40DB9" w:rsidRPr="00B40DB9">
        <w:t xml:space="preserve"> the type of </w:t>
      </w:r>
      <w:r w:rsidR="00632711">
        <w:t xml:space="preserve">new </w:t>
      </w:r>
      <w:r w:rsidR="00B40DB9" w:rsidRPr="00B40DB9">
        <w:t>CCCTs that electric utilities are likely to purchase and install.</w:t>
      </w:r>
      <w:r>
        <w:t xml:space="preserve"> We created a smaller subset of 20 CCCTs to </w:t>
      </w:r>
      <w:r w:rsidR="00170F8F">
        <w:t xml:space="preserve">more conveniently </w:t>
      </w:r>
      <w:r>
        <w:t xml:space="preserve">represent the national survey sample. This </w:t>
      </w:r>
      <w:r w:rsidR="00BA3408">
        <w:t xml:space="preserve">group of 20 </w:t>
      </w:r>
      <w:r>
        <w:t xml:space="preserve">should be thought of as a representative sample and is the </w:t>
      </w:r>
      <w:r w:rsidR="003B6FA0">
        <w:t>sub-</w:t>
      </w:r>
      <w:r>
        <w:t>group of C</w:t>
      </w:r>
      <w:r w:rsidR="00170F8F">
        <w:t>C</w:t>
      </w:r>
      <w:r>
        <w:t>CTs used in the EPS calculator: gr</w:t>
      </w:r>
      <w:r w:rsidR="00563224">
        <w:t>ouped by manufacturer and model.</w:t>
      </w:r>
    </w:p>
    <w:p w:rsidR="004030CF" w:rsidRDefault="004030CF" w:rsidP="004030CF">
      <w:pPr>
        <w:pStyle w:val="ListParagraph"/>
        <w:numPr>
          <w:ilvl w:val="0"/>
          <w:numId w:val="5"/>
        </w:numPr>
        <w:spacing w:line="264" w:lineRule="auto"/>
        <w:ind w:right="630"/>
      </w:pPr>
      <w:r>
        <w:t>The national survey contained many large CCCT formats (variable number of gas turbines) of 900 to 1400 MW of capacity (possibly 1000 to 1600 MW if duct firing is added). The largest CCCT in the Northwest is about 600 MW, and is operated at a low capacity factor</w:t>
      </w:r>
      <w:r>
        <w:rPr>
          <w:rStyle w:val="FootnoteReference"/>
        </w:rPr>
        <w:footnoteReference w:id="3"/>
      </w:r>
      <w:r>
        <w:t>. The Washington state average CCCT size is 300 MW. During the 2012 survey</w:t>
      </w:r>
      <w:r w:rsidR="002365D0">
        <w:t>,</w:t>
      </w:r>
      <w:r>
        <w:t xml:space="preserve"> stakeholders requested that Commerce remove or alter the formats of several large CCCT. For 2017 we elected to set a cap of roughly 600 MW of capacity for CCCTs in the EPS calculator.</w:t>
      </w:r>
    </w:p>
    <w:p w:rsidR="004030CF" w:rsidRDefault="004030CF" w:rsidP="004030CF">
      <w:pPr>
        <w:spacing w:before="200" w:after="120"/>
        <w:ind w:left="360" w:right="630"/>
        <w:rPr>
          <w:b/>
        </w:rPr>
      </w:pPr>
    </w:p>
    <w:p w:rsidR="00C806E7" w:rsidRPr="00563224" w:rsidRDefault="00BA3408" w:rsidP="004030CF">
      <w:pPr>
        <w:spacing w:before="200" w:after="120"/>
        <w:ind w:left="360" w:right="630"/>
      </w:pPr>
      <w:r w:rsidRPr="004030CF">
        <w:rPr>
          <w:b/>
        </w:rPr>
        <w:t xml:space="preserve">2017 </w:t>
      </w:r>
      <w:r w:rsidR="00AB0DFD" w:rsidRPr="004030CF">
        <w:rPr>
          <w:b/>
        </w:rPr>
        <w:t>EPS c</w:t>
      </w:r>
      <w:r w:rsidR="00A07522" w:rsidRPr="004030CF">
        <w:rPr>
          <w:b/>
        </w:rPr>
        <w:t>alculator</w:t>
      </w:r>
    </w:p>
    <w:p w:rsidR="006E685C" w:rsidRDefault="006E685C" w:rsidP="004030CF">
      <w:pPr>
        <w:pStyle w:val="ListParagraph"/>
        <w:numPr>
          <w:ilvl w:val="0"/>
          <w:numId w:val="8"/>
        </w:numPr>
        <w:spacing w:line="264" w:lineRule="auto"/>
        <w:ind w:right="630"/>
      </w:pPr>
      <w:r>
        <w:t>Following d</w:t>
      </w:r>
      <w:r w:rsidR="00504DC7">
        <w:t>iscussion at one of</w:t>
      </w:r>
      <w:r w:rsidRPr="006E685C">
        <w:t xml:space="preserve"> </w:t>
      </w:r>
      <w:r>
        <w:t>the technical group</w:t>
      </w:r>
      <w:r w:rsidR="00504DC7">
        <w:t xml:space="preserve"> meetings</w:t>
      </w:r>
      <w:r w:rsidRPr="006E685C">
        <w:t xml:space="preserve"> </w:t>
      </w:r>
      <w:r>
        <w:t>the start/stop/partial load adjustment parameter was increased from 6 to 7 percent to account for additional up</w:t>
      </w:r>
      <w:r w:rsidR="00504DC7">
        <w:t>/down CCCT ramping that is expec</w:t>
      </w:r>
      <w:r>
        <w:t xml:space="preserve">ted as </w:t>
      </w:r>
      <w:r w:rsidR="00632711">
        <w:t xml:space="preserve">utilities join the Energy Imbalance Market and </w:t>
      </w:r>
      <w:r w:rsidR="00504DC7">
        <w:t xml:space="preserve">as </w:t>
      </w:r>
      <w:r>
        <w:t>more distributed variable resources enter service</w:t>
      </w:r>
      <w:r w:rsidR="00504DC7">
        <w:t xml:space="preserve"> regionally</w:t>
      </w:r>
      <w:r>
        <w:t>.</w:t>
      </w:r>
    </w:p>
    <w:p w:rsidR="006E685C" w:rsidRDefault="006E685C" w:rsidP="004030CF">
      <w:pPr>
        <w:pStyle w:val="ListParagraph"/>
        <w:numPr>
          <w:ilvl w:val="0"/>
          <w:numId w:val="8"/>
        </w:numPr>
        <w:spacing w:line="264" w:lineRule="auto"/>
        <w:ind w:right="630"/>
      </w:pPr>
      <w:r>
        <w:t>Heat rates for duct firing were lowered to 9200 and 9550 Btu/kwh for large and small CCCTs reflecting technological improvements and access to better information.</w:t>
      </w:r>
    </w:p>
    <w:p w:rsidR="00F02822" w:rsidRDefault="00F02822" w:rsidP="004030CF">
      <w:pPr>
        <w:pStyle w:val="ListParagraph"/>
        <w:numPr>
          <w:ilvl w:val="0"/>
          <w:numId w:val="8"/>
        </w:numPr>
        <w:spacing w:line="264" w:lineRule="auto"/>
        <w:ind w:right="630"/>
      </w:pPr>
      <w:r>
        <w:t>The amount of duct firing time in the EPS calculator was reduced from 40 to 30 percent</w:t>
      </w:r>
      <w:r w:rsidR="00170F8F">
        <w:t xml:space="preserve"> of run time</w:t>
      </w:r>
      <w:r>
        <w:t>.</w:t>
      </w:r>
    </w:p>
    <w:p w:rsidR="00A07522" w:rsidRDefault="00A13865" w:rsidP="004030CF">
      <w:pPr>
        <w:pStyle w:val="ListParagraph"/>
        <w:numPr>
          <w:ilvl w:val="0"/>
          <w:numId w:val="8"/>
        </w:numPr>
        <w:spacing w:line="264" w:lineRule="auto"/>
        <w:ind w:right="630"/>
      </w:pPr>
      <w:r>
        <w:t xml:space="preserve">Following </w:t>
      </w:r>
      <w:r w:rsidR="00632711">
        <w:t xml:space="preserve">stakeholder </w:t>
      </w:r>
      <w:r>
        <w:t>d</w:t>
      </w:r>
      <w:r w:rsidRPr="006E685C">
        <w:t>iscussion</w:t>
      </w:r>
      <w:r w:rsidR="004D047D">
        <w:t>,</w:t>
      </w:r>
      <w:r w:rsidRPr="006E685C">
        <w:t xml:space="preserve"> </w:t>
      </w:r>
      <w:r>
        <w:t>the duct firing fuel input rate was i</w:t>
      </w:r>
      <w:r w:rsidR="00AB0DFD">
        <w:t xml:space="preserve">ncreased from 80 to 100 percent. </w:t>
      </w:r>
      <w:r w:rsidR="00563224">
        <w:t xml:space="preserve">After receiving </w:t>
      </w:r>
      <w:r w:rsidR="004030CF">
        <w:t xml:space="preserve">some last minute </w:t>
      </w:r>
      <w:r w:rsidR="0070119F">
        <w:t>comments at the CR102</w:t>
      </w:r>
      <w:r w:rsidR="00563224">
        <w:t xml:space="preserve"> </w:t>
      </w:r>
      <w:r w:rsidR="004030CF">
        <w:t xml:space="preserve">rulemaking </w:t>
      </w:r>
      <w:r w:rsidR="00563224">
        <w:t>stage</w:t>
      </w:r>
      <w:r w:rsidR="004D047D">
        <w:t>,</w:t>
      </w:r>
      <w:r w:rsidR="00563224">
        <w:t xml:space="preserve"> the fuel input rate was returned to 80 percent.</w:t>
      </w:r>
    </w:p>
    <w:p w:rsidR="00A07522" w:rsidRDefault="00A07522" w:rsidP="004030CF">
      <w:pPr>
        <w:pStyle w:val="ListParagraph"/>
        <w:spacing w:line="264" w:lineRule="auto"/>
        <w:ind w:right="630"/>
        <w:rPr>
          <w:u w:val="single"/>
        </w:rPr>
      </w:pPr>
    </w:p>
    <w:p w:rsidR="00C369BB" w:rsidRDefault="00F52EED" w:rsidP="004030CF">
      <w:pPr>
        <w:pStyle w:val="ListParagraph"/>
        <w:spacing w:line="264" w:lineRule="auto"/>
        <w:ind w:left="0" w:right="630"/>
      </w:pPr>
      <w:r>
        <w:t xml:space="preserve">The 20 representative CCCTs derived from the national survey were entered into the EPS calculator, along with the </w:t>
      </w:r>
      <w:r w:rsidR="00F02822">
        <w:t xml:space="preserve">altered </w:t>
      </w:r>
      <w:r>
        <w:t>adjustment</w:t>
      </w:r>
      <w:r w:rsidR="00F02822">
        <w:t xml:space="preserve"> factors noted above, </w:t>
      </w:r>
      <w:r w:rsidR="00462801">
        <w:t>resulting</w:t>
      </w:r>
      <w:r>
        <w:t xml:space="preserve"> in the proposed EPS value of 930 lb</w:t>
      </w:r>
      <w:proofErr w:type="gramStart"/>
      <w:r>
        <w:t>./</w:t>
      </w:r>
      <w:proofErr w:type="gramEnd"/>
      <w:r>
        <w:t xml:space="preserve">MWh shown in </w:t>
      </w:r>
      <w:r w:rsidR="004D047D">
        <w:t>Table</w:t>
      </w:r>
      <w:r>
        <w:t xml:space="preserve"> 2 below. This value was published in the CR 102 filing on March 21, 2018.</w:t>
      </w:r>
    </w:p>
    <w:p w:rsidR="002C1275" w:rsidRDefault="002C1275" w:rsidP="004030CF">
      <w:pPr>
        <w:pStyle w:val="ListParagraph"/>
        <w:spacing w:line="264" w:lineRule="auto"/>
        <w:ind w:left="0" w:right="630"/>
      </w:pPr>
    </w:p>
    <w:p w:rsidR="00632711" w:rsidRDefault="002C1275" w:rsidP="004030CF">
      <w:pPr>
        <w:pStyle w:val="ListParagraph"/>
        <w:spacing w:line="264" w:lineRule="auto"/>
        <w:ind w:left="0" w:right="630"/>
      </w:pPr>
      <w:r>
        <w:t>We allowed an extended comment period for the EPS value published in the CR 102 and received a number of comments, which we respond to in the Comments and Responses document.</w:t>
      </w:r>
      <w:r w:rsidR="004030CF">
        <w:t xml:space="preserve"> Refer to Appendix C for stakeholder comments and Commerce responses. </w:t>
      </w:r>
    </w:p>
    <w:p w:rsidR="00A07522" w:rsidRPr="00F02822" w:rsidRDefault="0070119F" w:rsidP="0070119F">
      <w:pPr>
        <w:spacing w:before="160" w:after="120" w:line="259" w:lineRule="auto"/>
        <w:ind w:right="634"/>
        <w:rPr>
          <w:rFonts w:ascii="Times New Roman" w:hAnsi="Times New Roman"/>
          <w:sz w:val="24"/>
        </w:rPr>
      </w:pPr>
      <w:r>
        <w:rPr>
          <w:rFonts w:ascii="Times New Roman" w:hAnsi="Times New Roman"/>
          <w:sz w:val="24"/>
        </w:rPr>
        <w:t>Table 1: National 20</w:t>
      </w:r>
      <w:r w:rsidR="00A07522" w:rsidRPr="00F02822">
        <w:rPr>
          <w:rFonts w:ascii="Times New Roman" w:hAnsi="Times New Roman"/>
          <w:sz w:val="24"/>
        </w:rPr>
        <w:t>17 CCCT Survey</w:t>
      </w:r>
    </w:p>
    <w:p w:rsidR="00A07522" w:rsidRPr="00A07522" w:rsidRDefault="00A07522" w:rsidP="004030CF">
      <w:pPr>
        <w:pStyle w:val="ListParagraph"/>
        <w:ind w:left="90" w:right="630"/>
        <w:rPr>
          <w:u w:val="single"/>
        </w:rPr>
      </w:pPr>
      <w:r w:rsidRPr="00A07522">
        <w:rPr>
          <w:noProof/>
        </w:rPr>
        <w:drawing>
          <wp:inline distT="0" distB="0" distL="0" distR="0">
            <wp:extent cx="5544820" cy="300654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288" cy="3007885"/>
                    </a:xfrm>
                    <a:prstGeom prst="rect">
                      <a:avLst/>
                    </a:prstGeom>
                    <a:noFill/>
                    <a:ln>
                      <a:noFill/>
                    </a:ln>
                  </pic:spPr>
                </pic:pic>
              </a:graphicData>
            </a:graphic>
          </wp:inline>
        </w:drawing>
      </w:r>
    </w:p>
    <w:p w:rsidR="004030CF" w:rsidRDefault="004030CF" w:rsidP="004030CF">
      <w:pPr>
        <w:spacing w:after="40"/>
        <w:ind w:right="630"/>
        <w:rPr>
          <w:rFonts w:ascii="Times New Roman" w:hAnsi="Times New Roman"/>
          <w:sz w:val="24"/>
        </w:rPr>
      </w:pPr>
    </w:p>
    <w:p w:rsidR="004030CF" w:rsidRDefault="004030CF" w:rsidP="004030CF">
      <w:pPr>
        <w:spacing w:after="40"/>
        <w:ind w:right="630"/>
        <w:rPr>
          <w:rFonts w:ascii="Times New Roman" w:hAnsi="Times New Roman"/>
          <w:sz w:val="24"/>
        </w:rPr>
      </w:pPr>
    </w:p>
    <w:p w:rsidR="004030CF" w:rsidRDefault="004030CF" w:rsidP="004030CF">
      <w:pPr>
        <w:spacing w:after="40"/>
        <w:ind w:right="630"/>
        <w:rPr>
          <w:rFonts w:ascii="Times New Roman" w:hAnsi="Times New Roman"/>
          <w:sz w:val="24"/>
        </w:rPr>
      </w:pPr>
    </w:p>
    <w:p w:rsidR="00462801" w:rsidRPr="00596A1D" w:rsidRDefault="0070119F" w:rsidP="004030CF">
      <w:pPr>
        <w:spacing w:after="40"/>
        <w:ind w:left="-810" w:right="630"/>
        <w:rPr>
          <w:rFonts w:ascii="Times New Roman" w:hAnsi="Times New Roman"/>
          <w:sz w:val="24"/>
        </w:rPr>
      </w:pPr>
      <w:r>
        <w:rPr>
          <w:rFonts w:ascii="Times New Roman" w:hAnsi="Times New Roman"/>
          <w:sz w:val="24"/>
        </w:rPr>
        <w:t>Table 2: Proposed 20</w:t>
      </w:r>
      <w:r w:rsidR="00F52EED" w:rsidRPr="00596A1D">
        <w:rPr>
          <w:rFonts w:ascii="Times New Roman" w:hAnsi="Times New Roman"/>
          <w:sz w:val="24"/>
        </w:rPr>
        <w:t>18 Emission Performance Standard</w:t>
      </w:r>
      <w:r w:rsidR="00563224">
        <w:rPr>
          <w:rFonts w:ascii="Times New Roman" w:hAnsi="Times New Roman"/>
          <w:sz w:val="24"/>
        </w:rPr>
        <w:t>, March 2018</w:t>
      </w:r>
    </w:p>
    <w:p w:rsidR="00462801" w:rsidRPr="00596A1D" w:rsidRDefault="00462801" w:rsidP="004030CF">
      <w:pPr>
        <w:pStyle w:val="ListParagraph"/>
        <w:spacing w:before="120"/>
        <w:ind w:left="-806" w:right="630"/>
        <w:rPr>
          <w:b/>
          <w:sz w:val="26"/>
          <w:szCs w:val="26"/>
          <w:u w:val="single"/>
        </w:rPr>
      </w:pPr>
      <w:r>
        <w:rPr>
          <w:noProof/>
        </w:rPr>
        <w:drawing>
          <wp:inline distT="0" distB="0" distL="0" distR="0" wp14:anchorId="690BBA61">
            <wp:extent cx="6949218" cy="4491533"/>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4544" cy="4494976"/>
                    </a:xfrm>
                    <a:prstGeom prst="rect">
                      <a:avLst/>
                    </a:prstGeom>
                    <a:noFill/>
                  </pic:spPr>
                </pic:pic>
              </a:graphicData>
            </a:graphic>
          </wp:inline>
        </w:drawing>
      </w:r>
    </w:p>
    <w:p w:rsidR="00563224" w:rsidRDefault="00563224" w:rsidP="004030CF">
      <w:pPr>
        <w:spacing w:after="120"/>
        <w:ind w:right="630"/>
        <w:rPr>
          <w:rFonts w:ascii="Times New Roman" w:hAnsi="Times New Roman"/>
          <w:b/>
          <w:sz w:val="26"/>
          <w:szCs w:val="26"/>
          <w:u w:val="single"/>
        </w:rPr>
      </w:pPr>
    </w:p>
    <w:p w:rsidR="00563224" w:rsidRDefault="00563224" w:rsidP="004030CF">
      <w:pPr>
        <w:spacing w:after="160" w:line="259" w:lineRule="auto"/>
        <w:ind w:right="630"/>
        <w:rPr>
          <w:rFonts w:ascii="Times New Roman" w:hAnsi="Times New Roman"/>
          <w:b/>
          <w:sz w:val="26"/>
          <w:szCs w:val="26"/>
          <w:u w:val="single"/>
        </w:rPr>
      </w:pPr>
      <w:r>
        <w:rPr>
          <w:rFonts w:ascii="Times New Roman" w:hAnsi="Times New Roman"/>
          <w:b/>
          <w:sz w:val="26"/>
          <w:szCs w:val="26"/>
          <w:u w:val="single"/>
        </w:rPr>
        <w:br w:type="page"/>
      </w:r>
    </w:p>
    <w:p w:rsidR="00563224" w:rsidRPr="00135BCB" w:rsidRDefault="00563224" w:rsidP="004030CF">
      <w:pPr>
        <w:spacing w:after="120"/>
        <w:ind w:right="630"/>
        <w:rPr>
          <w:rFonts w:ascii="Times New Roman" w:hAnsi="Times New Roman"/>
          <w:b/>
          <w:sz w:val="26"/>
          <w:szCs w:val="26"/>
          <w:u w:val="single"/>
        </w:rPr>
      </w:pPr>
      <w:r w:rsidRPr="00135BCB">
        <w:rPr>
          <w:rFonts w:ascii="Times New Roman" w:hAnsi="Times New Roman"/>
          <w:b/>
          <w:sz w:val="26"/>
          <w:szCs w:val="26"/>
          <w:u w:val="single"/>
        </w:rPr>
        <w:lastRenderedPageBreak/>
        <w:t>Adjustments to the CR102 Emission Performance Standard Survey and Calculator</w:t>
      </w:r>
    </w:p>
    <w:p w:rsidR="00563224" w:rsidRDefault="00563224" w:rsidP="004030CF">
      <w:pPr>
        <w:ind w:right="630"/>
        <w:rPr>
          <w:rFonts w:ascii="Times New Roman" w:hAnsi="Times New Roman"/>
          <w:sz w:val="24"/>
        </w:rPr>
      </w:pPr>
      <w:r w:rsidRPr="00044841">
        <w:rPr>
          <w:rFonts w:ascii="Times New Roman" w:hAnsi="Times New Roman"/>
          <w:sz w:val="24"/>
        </w:rPr>
        <w:t xml:space="preserve">After reviewing and responding to the stakeholder comments </w:t>
      </w:r>
      <w:r>
        <w:rPr>
          <w:rFonts w:ascii="Times New Roman" w:hAnsi="Times New Roman"/>
          <w:sz w:val="24"/>
        </w:rPr>
        <w:t>following the March 21 issuance of the CR102</w:t>
      </w:r>
      <w:r w:rsidR="004D047D">
        <w:rPr>
          <w:rFonts w:ascii="Times New Roman" w:hAnsi="Times New Roman"/>
          <w:sz w:val="24"/>
        </w:rPr>
        <w:t>,</w:t>
      </w:r>
      <w:r>
        <w:rPr>
          <w:rFonts w:ascii="Times New Roman" w:hAnsi="Times New Roman"/>
          <w:sz w:val="24"/>
        </w:rPr>
        <w:t xml:space="preserve"> we made</w:t>
      </w:r>
      <w:r w:rsidRPr="00044841">
        <w:rPr>
          <w:rFonts w:ascii="Times New Roman" w:hAnsi="Times New Roman"/>
          <w:sz w:val="24"/>
        </w:rPr>
        <w:t xml:space="preserve"> the following adjustments to the CCCT survey and the EPS calculator.</w:t>
      </w:r>
    </w:p>
    <w:p w:rsidR="00563224" w:rsidRPr="00044841" w:rsidRDefault="00563224" w:rsidP="004030CF">
      <w:pPr>
        <w:ind w:right="630"/>
        <w:rPr>
          <w:rFonts w:ascii="Times New Roman" w:hAnsi="Times New Roman"/>
          <w:sz w:val="24"/>
        </w:rPr>
      </w:pPr>
    </w:p>
    <w:p w:rsidR="00563224" w:rsidRPr="00044841" w:rsidRDefault="00563224" w:rsidP="004030CF">
      <w:pPr>
        <w:pStyle w:val="ListParagraph"/>
        <w:numPr>
          <w:ilvl w:val="0"/>
          <w:numId w:val="10"/>
        </w:numPr>
        <w:spacing w:after="160" w:line="259" w:lineRule="auto"/>
        <w:ind w:right="630"/>
      </w:pPr>
      <w:r w:rsidRPr="00044841">
        <w:t>Based on information in the national CCCT survey</w:t>
      </w:r>
      <w:r>
        <w:t xml:space="preserve"> shown in </w:t>
      </w:r>
      <w:r w:rsidR="004D047D">
        <w:t>Table</w:t>
      </w:r>
      <w:r>
        <w:t xml:space="preserve"> 1</w:t>
      </w:r>
      <w:r w:rsidR="004D047D">
        <w:t>,</w:t>
      </w:r>
      <w:r w:rsidRPr="00044841">
        <w:t xml:space="preserve"> we adjust</w:t>
      </w:r>
      <w:r w:rsidR="004D047D">
        <w:t>ed</w:t>
      </w:r>
      <w:r w:rsidRPr="00044841">
        <w:t xml:space="preserve"> the makeup of the CCCTs in the EPS calculator dated Feb. 26. To more </w:t>
      </w:r>
      <w:r>
        <w:t>precise</w:t>
      </w:r>
      <w:r w:rsidRPr="00044841">
        <w:t>ly match th</w:t>
      </w:r>
      <w:r w:rsidR="0070119F">
        <w:t>e CCCT distribution of the 20</w:t>
      </w:r>
      <w:r w:rsidRPr="00044841">
        <w:t>17 national survey</w:t>
      </w:r>
      <w:r w:rsidR="004D047D">
        <w:t>,</w:t>
      </w:r>
      <w:r w:rsidRPr="00044841">
        <w:t xml:space="preserve"> we increased the number of GE F.03 CCCTs to two and reduce</w:t>
      </w:r>
      <w:r w:rsidR="004D047D">
        <w:t>d</w:t>
      </w:r>
      <w:r w:rsidRPr="00044841">
        <w:t xml:space="preserve"> the number of F.04 CCCTs to one unit. The total number of CCCTs in the EPS calculator remains at 20. Manufacturer and category shares remain unchanged. </w:t>
      </w:r>
    </w:p>
    <w:p w:rsidR="00563224" w:rsidRPr="00044841" w:rsidRDefault="00563224" w:rsidP="004030CF">
      <w:pPr>
        <w:pStyle w:val="ListParagraph"/>
        <w:numPr>
          <w:ilvl w:val="0"/>
          <w:numId w:val="10"/>
        </w:numPr>
        <w:spacing w:after="160" w:line="259" w:lineRule="auto"/>
        <w:ind w:right="630"/>
      </w:pPr>
      <w:r w:rsidRPr="00044841">
        <w:t xml:space="preserve">We </w:t>
      </w:r>
      <w:r>
        <w:t>changed</w:t>
      </w:r>
      <w:r w:rsidRPr="00044841">
        <w:t xml:space="preserve"> the GE aero-derivative CCCT in the EPS calculator to a larger</w:t>
      </w:r>
      <w:r w:rsidR="000F443E">
        <w:t xml:space="preserve"> and</w:t>
      </w:r>
      <w:r w:rsidRPr="00044841">
        <w:t xml:space="preserve"> more efficient model, the LM6000, which could replace smaller and older existing Northwest CCCTs and be permitted as a baseload power plant.</w:t>
      </w:r>
    </w:p>
    <w:p w:rsidR="00563224" w:rsidRPr="00044841" w:rsidRDefault="00563224" w:rsidP="004030CF">
      <w:pPr>
        <w:pStyle w:val="ListParagraph"/>
        <w:numPr>
          <w:ilvl w:val="0"/>
          <w:numId w:val="10"/>
        </w:numPr>
        <w:spacing w:after="160" w:line="259" w:lineRule="auto"/>
        <w:ind w:right="630"/>
      </w:pPr>
      <w:r>
        <w:t>Earlier in the rulemaking, a</w:t>
      </w:r>
      <w:r w:rsidRPr="00044841">
        <w:t>t the suggestion of a stakeholder</w:t>
      </w:r>
      <w:r w:rsidR="004D047D">
        <w:t>s</w:t>
      </w:r>
      <w:r>
        <w:t>,</w:t>
      </w:r>
      <w:r w:rsidRPr="00044841">
        <w:t xml:space="preserve"> the duct firing fuel </w:t>
      </w:r>
      <w:r w:rsidR="000F443E">
        <w:t xml:space="preserve">input </w:t>
      </w:r>
      <w:r w:rsidRPr="00044841">
        <w:t xml:space="preserve">rate was increased to 100%. After </w:t>
      </w:r>
      <w:r>
        <w:t xml:space="preserve">comment and </w:t>
      </w:r>
      <w:r w:rsidRPr="00044841">
        <w:t>review</w:t>
      </w:r>
      <w:r w:rsidR="004D047D">
        <w:t>,</w:t>
      </w:r>
      <w:r w:rsidRPr="00044841">
        <w:t xml:space="preserve"> we have returned the duct firing fuel input </w:t>
      </w:r>
      <w:r w:rsidR="004D047D">
        <w:t xml:space="preserve">rate to the 80% </w:t>
      </w:r>
      <w:r>
        <w:t>value used in 2012</w:t>
      </w:r>
      <w:r w:rsidRPr="00044841">
        <w:t>.</w:t>
      </w:r>
    </w:p>
    <w:p w:rsidR="00563224" w:rsidRPr="00563224" w:rsidRDefault="00563224" w:rsidP="004030CF">
      <w:pPr>
        <w:ind w:right="630"/>
        <w:rPr>
          <w:rFonts w:ascii="Times New Roman" w:hAnsi="Times New Roman"/>
          <w:sz w:val="24"/>
        </w:rPr>
      </w:pPr>
      <w:r w:rsidRPr="00044841">
        <w:rPr>
          <w:rFonts w:ascii="Times New Roman" w:hAnsi="Times New Roman"/>
          <w:sz w:val="24"/>
        </w:rPr>
        <w:t xml:space="preserve">The three modifications above were incorporated into the EPS calculator and the </w:t>
      </w:r>
      <w:r>
        <w:rPr>
          <w:rFonts w:ascii="Times New Roman" w:hAnsi="Times New Roman"/>
          <w:sz w:val="24"/>
        </w:rPr>
        <w:t>average GHG emission rate</w:t>
      </w:r>
      <w:r w:rsidRPr="00044841">
        <w:rPr>
          <w:rFonts w:ascii="Times New Roman" w:hAnsi="Times New Roman"/>
          <w:sz w:val="24"/>
        </w:rPr>
        <w:t xml:space="preserve"> was accordingly recalculated. T</w:t>
      </w:r>
      <w:r>
        <w:rPr>
          <w:rFonts w:ascii="Times New Roman" w:hAnsi="Times New Roman"/>
          <w:sz w:val="24"/>
        </w:rPr>
        <w:t xml:space="preserve">he results are shown in </w:t>
      </w:r>
      <w:r w:rsidR="004D047D">
        <w:rPr>
          <w:rFonts w:ascii="Times New Roman" w:hAnsi="Times New Roman"/>
          <w:sz w:val="24"/>
        </w:rPr>
        <w:t>Table</w:t>
      </w:r>
      <w:r>
        <w:rPr>
          <w:rFonts w:ascii="Times New Roman" w:hAnsi="Times New Roman"/>
          <w:sz w:val="24"/>
        </w:rPr>
        <w:t xml:space="preserve"> </w:t>
      </w:r>
      <w:r w:rsidR="00D93C47">
        <w:rPr>
          <w:rFonts w:ascii="Times New Roman" w:hAnsi="Times New Roman"/>
          <w:sz w:val="24"/>
        </w:rPr>
        <w:t>3</w:t>
      </w:r>
      <w:r w:rsidRPr="00044841">
        <w:rPr>
          <w:rFonts w:ascii="Times New Roman" w:hAnsi="Times New Roman"/>
          <w:sz w:val="24"/>
        </w:rPr>
        <w:t xml:space="preserve"> below. </w:t>
      </w:r>
    </w:p>
    <w:p w:rsidR="00563224" w:rsidRPr="00135BCB" w:rsidRDefault="00563224" w:rsidP="004030CF">
      <w:pPr>
        <w:spacing w:before="120" w:after="40"/>
        <w:ind w:left="-187" w:right="630"/>
        <w:rPr>
          <w:rFonts w:ascii="Times New Roman" w:hAnsi="Times New Roman"/>
          <w:sz w:val="24"/>
        </w:rPr>
      </w:pPr>
      <w:r>
        <w:rPr>
          <w:rFonts w:ascii="Times New Roman" w:hAnsi="Times New Roman"/>
          <w:sz w:val="24"/>
        </w:rPr>
        <w:t xml:space="preserve">Table </w:t>
      </w:r>
      <w:r w:rsidR="00D93C47">
        <w:rPr>
          <w:rFonts w:ascii="Times New Roman" w:hAnsi="Times New Roman"/>
          <w:sz w:val="24"/>
        </w:rPr>
        <w:t>3</w:t>
      </w:r>
      <w:r>
        <w:rPr>
          <w:rFonts w:ascii="Times New Roman" w:hAnsi="Times New Roman"/>
          <w:sz w:val="24"/>
        </w:rPr>
        <w:t>: Adjusted EPS Calculator, June 28th</w:t>
      </w:r>
    </w:p>
    <w:p w:rsidR="00563224" w:rsidRDefault="00563224" w:rsidP="000F443E">
      <w:pPr>
        <w:ind w:left="-270" w:right="630"/>
        <w:rPr>
          <w:rFonts w:cstheme="minorHAnsi"/>
        </w:rPr>
      </w:pPr>
      <w:r w:rsidRPr="001000B6">
        <w:rPr>
          <w:noProof/>
        </w:rPr>
        <w:drawing>
          <wp:inline distT="0" distB="0" distL="0" distR="0" wp14:anchorId="058DADAD" wp14:editId="274C858A">
            <wp:extent cx="6597650" cy="407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3416" cy="4098800"/>
                    </a:xfrm>
                    <a:prstGeom prst="rect">
                      <a:avLst/>
                    </a:prstGeom>
                    <a:noFill/>
                    <a:ln>
                      <a:noFill/>
                    </a:ln>
                  </pic:spPr>
                </pic:pic>
              </a:graphicData>
            </a:graphic>
          </wp:inline>
        </w:drawing>
      </w:r>
    </w:p>
    <w:p w:rsidR="00563224" w:rsidRPr="00563224" w:rsidRDefault="00563224" w:rsidP="004030CF">
      <w:pPr>
        <w:spacing w:before="120" w:after="120"/>
        <w:ind w:right="630"/>
        <w:rPr>
          <w:rFonts w:cstheme="minorHAnsi"/>
        </w:rPr>
      </w:pPr>
      <w:r w:rsidRPr="000171CC">
        <w:rPr>
          <w:rFonts w:ascii="Times New Roman" w:hAnsi="Times New Roman"/>
          <w:sz w:val="24"/>
        </w:rPr>
        <w:lastRenderedPageBreak/>
        <w:t>The three adjustments lower the proposed EPS value slightly from the Feb. 26 calculator value of 930 lb</w:t>
      </w:r>
      <w:proofErr w:type="gramStart"/>
      <w:r w:rsidRPr="000171CC">
        <w:rPr>
          <w:rFonts w:ascii="Times New Roman" w:hAnsi="Times New Roman"/>
          <w:sz w:val="24"/>
        </w:rPr>
        <w:t>./</w:t>
      </w:r>
      <w:proofErr w:type="gramEnd"/>
      <w:r w:rsidRPr="000171CC">
        <w:rPr>
          <w:rFonts w:ascii="Times New Roman" w:hAnsi="Times New Roman"/>
          <w:sz w:val="24"/>
        </w:rPr>
        <w:t xml:space="preserve">MWh to 925 lb./MWh. </w:t>
      </w:r>
    </w:p>
    <w:p w:rsidR="00563224" w:rsidRPr="00044841" w:rsidRDefault="00563224" w:rsidP="000F443E">
      <w:pPr>
        <w:spacing w:after="160"/>
        <w:ind w:right="634"/>
        <w:rPr>
          <w:rFonts w:ascii="Times New Roman" w:hAnsi="Times New Roman"/>
          <w:sz w:val="24"/>
        </w:rPr>
      </w:pPr>
      <w:r>
        <w:rPr>
          <w:rFonts w:ascii="Times New Roman" w:hAnsi="Times New Roman"/>
          <w:sz w:val="24"/>
        </w:rPr>
        <w:t>T</w:t>
      </w:r>
      <w:r w:rsidRPr="00044841">
        <w:rPr>
          <w:rFonts w:ascii="Times New Roman" w:hAnsi="Times New Roman"/>
          <w:sz w:val="24"/>
        </w:rPr>
        <w:t xml:space="preserve">o the </w:t>
      </w:r>
      <w:r>
        <w:rPr>
          <w:rFonts w:ascii="Times New Roman" w:hAnsi="Times New Roman"/>
          <w:sz w:val="24"/>
        </w:rPr>
        <w:t xml:space="preserve">test the reasonableness of using the </w:t>
      </w:r>
      <w:r w:rsidR="0070119F">
        <w:rPr>
          <w:rFonts w:ascii="Times New Roman" w:hAnsi="Times New Roman"/>
          <w:sz w:val="24"/>
        </w:rPr>
        <w:t xml:space="preserve">sample set </w:t>
      </w:r>
      <w:r w:rsidR="0070119F">
        <w:rPr>
          <w:rFonts w:ascii="Times New Roman" w:hAnsi="Times New Roman"/>
          <w:sz w:val="24"/>
        </w:rPr>
        <w:t xml:space="preserve">of </w:t>
      </w:r>
      <w:r w:rsidRPr="00044841">
        <w:rPr>
          <w:rFonts w:ascii="Times New Roman" w:hAnsi="Times New Roman"/>
          <w:sz w:val="24"/>
        </w:rPr>
        <w:t xml:space="preserve">20 </w:t>
      </w:r>
      <w:r>
        <w:rPr>
          <w:rFonts w:ascii="Times New Roman" w:hAnsi="Times New Roman"/>
          <w:sz w:val="24"/>
        </w:rPr>
        <w:t>representative</w:t>
      </w:r>
      <w:r w:rsidRPr="00044841">
        <w:rPr>
          <w:rFonts w:ascii="Times New Roman" w:hAnsi="Times New Roman"/>
          <w:sz w:val="24"/>
        </w:rPr>
        <w:t xml:space="preserve"> CCCT </w:t>
      </w:r>
      <w:r>
        <w:rPr>
          <w:rFonts w:ascii="Times New Roman" w:hAnsi="Times New Roman"/>
          <w:sz w:val="24"/>
        </w:rPr>
        <w:t xml:space="preserve">shown in </w:t>
      </w:r>
      <w:r w:rsidR="004D047D">
        <w:rPr>
          <w:rFonts w:ascii="Times New Roman" w:hAnsi="Times New Roman"/>
          <w:sz w:val="24"/>
        </w:rPr>
        <w:t>T</w:t>
      </w:r>
      <w:r>
        <w:rPr>
          <w:rFonts w:ascii="Times New Roman" w:hAnsi="Times New Roman"/>
          <w:sz w:val="24"/>
        </w:rPr>
        <w:t>able 1 above</w:t>
      </w:r>
      <w:r w:rsidRPr="00044841">
        <w:rPr>
          <w:rFonts w:ascii="Times New Roman" w:hAnsi="Times New Roman"/>
          <w:sz w:val="24"/>
        </w:rPr>
        <w:t xml:space="preserve"> </w:t>
      </w:r>
      <w:proofErr w:type="gramStart"/>
      <w:r w:rsidR="0070119F">
        <w:rPr>
          <w:rFonts w:ascii="Times New Roman" w:hAnsi="Times New Roman"/>
          <w:sz w:val="24"/>
        </w:rPr>
        <w:t>we</w:t>
      </w:r>
      <w:proofErr w:type="gramEnd"/>
      <w:r w:rsidR="0070119F">
        <w:rPr>
          <w:rFonts w:ascii="Times New Roman" w:hAnsi="Times New Roman"/>
          <w:sz w:val="24"/>
        </w:rPr>
        <w:t xml:space="preserve"> incorporated the entire 20</w:t>
      </w:r>
      <w:r w:rsidRPr="00044841">
        <w:rPr>
          <w:rFonts w:ascii="Times New Roman" w:hAnsi="Times New Roman"/>
          <w:sz w:val="24"/>
        </w:rPr>
        <w:t xml:space="preserve">17 national CCCT survey data set into the </w:t>
      </w:r>
      <w:r>
        <w:rPr>
          <w:rFonts w:ascii="Times New Roman" w:hAnsi="Times New Roman"/>
          <w:sz w:val="24"/>
        </w:rPr>
        <w:t xml:space="preserve">adjusted </w:t>
      </w:r>
      <w:r w:rsidRPr="00044841">
        <w:rPr>
          <w:rFonts w:ascii="Times New Roman" w:hAnsi="Times New Roman"/>
          <w:sz w:val="24"/>
        </w:rPr>
        <w:t>EPS calculator. T</w:t>
      </w:r>
      <w:r>
        <w:rPr>
          <w:rFonts w:ascii="Times New Roman" w:hAnsi="Times New Roman"/>
          <w:sz w:val="24"/>
        </w:rPr>
        <w:t xml:space="preserve">he outcome of this procedure is shown in </w:t>
      </w:r>
      <w:r w:rsidR="004D047D">
        <w:rPr>
          <w:rFonts w:ascii="Times New Roman" w:hAnsi="Times New Roman"/>
          <w:sz w:val="24"/>
        </w:rPr>
        <w:t>T</w:t>
      </w:r>
      <w:r>
        <w:rPr>
          <w:rFonts w:ascii="Times New Roman" w:hAnsi="Times New Roman"/>
          <w:sz w:val="24"/>
        </w:rPr>
        <w:t xml:space="preserve">able </w:t>
      </w:r>
      <w:r w:rsidR="00D93C47">
        <w:rPr>
          <w:rFonts w:ascii="Times New Roman" w:hAnsi="Times New Roman"/>
          <w:sz w:val="24"/>
        </w:rPr>
        <w:t>4</w:t>
      </w:r>
      <w:r w:rsidRPr="00044841">
        <w:rPr>
          <w:rFonts w:ascii="Times New Roman" w:hAnsi="Times New Roman"/>
          <w:sz w:val="24"/>
        </w:rPr>
        <w:t xml:space="preserve"> below.</w:t>
      </w:r>
    </w:p>
    <w:p w:rsidR="00563224" w:rsidRPr="00044841" w:rsidRDefault="00563224" w:rsidP="000F443E">
      <w:pPr>
        <w:spacing w:after="40"/>
        <w:ind w:left="-180" w:right="634"/>
        <w:rPr>
          <w:rFonts w:ascii="Times New Roman" w:hAnsi="Times New Roman"/>
          <w:sz w:val="24"/>
        </w:rPr>
      </w:pPr>
      <w:r>
        <w:rPr>
          <w:rFonts w:ascii="Times New Roman" w:hAnsi="Times New Roman"/>
          <w:sz w:val="24"/>
        </w:rPr>
        <w:t xml:space="preserve">Table </w:t>
      </w:r>
      <w:r w:rsidR="00D93C47">
        <w:rPr>
          <w:rFonts w:ascii="Times New Roman" w:hAnsi="Times New Roman"/>
          <w:sz w:val="24"/>
        </w:rPr>
        <w:t>4</w:t>
      </w:r>
      <w:r w:rsidR="000F443E">
        <w:rPr>
          <w:rFonts w:ascii="Times New Roman" w:hAnsi="Times New Roman"/>
          <w:sz w:val="24"/>
        </w:rPr>
        <w:t>: Incorporation of</w:t>
      </w:r>
      <w:r w:rsidRPr="00044841">
        <w:rPr>
          <w:rFonts w:ascii="Times New Roman" w:hAnsi="Times New Roman"/>
          <w:sz w:val="24"/>
        </w:rPr>
        <w:t xml:space="preserve"> the </w:t>
      </w:r>
      <w:r>
        <w:rPr>
          <w:rFonts w:ascii="Times New Roman" w:hAnsi="Times New Roman"/>
          <w:sz w:val="24"/>
        </w:rPr>
        <w:t xml:space="preserve">entire </w:t>
      </w:r>
      <w:r w:rsidR="0070119F">
        <w:rPr>
          <w:rFonts w:ascii="Times New Roman" w:hAnsi="Times New Roman"/>
          <w:sz w:val="24"/>
        </w:rPr>
        <w:t>20</w:t>
      </w:r>
      <w:r w:rsidRPr="00044841">
        <w:rPr>
          <w:rFonts w:ascii="Times New Roman" w:hAnsi="Times New Roman"/>
          <w:sz w:val="24"/>
        </w:rPr>
        <w:t>1</w:t>
      </w:r>
      <w:r w:rsidR="000F443E">
        <w:rPr>
          <w:rFonts w:ascii="Times New Roman" w:hAnsi="Times New Roman"/>
          <w:sz w:val="24"/>
        </w:rPr>
        <w:t>7 National Survey into the EPS c</w:t>
      </w:r>
      <w:r w:rsidRPr="00044841">
        <w:rPr>
          <w:rFonts w:ascii="Times New Roman" w:hAnsi="Times New Roman"/>
          <w:sz w:val="24"/>
        </w:rPr>
        <w:t>alculator.</w:t>
      </w:r>
    </w:p>
    <w:p w:rsidR="00563224" w:rsidRDefault="00563224" w:rsidP="004030CF">
      <w:pPr>
        <w:ind w:left="-180" w:right="630"/>
      </w:pPr>
      <w:r w:rsidRPr="00931FAD">
        <w:rPr>
          <w:noProof/>
        </w:rPr>
        <w:drawing>
          <wp:inline distT="0" distB="0" distL="0" distR="0" wp14:anchorId="3DABC1BF" wp14:editId="01348239">
            <wp:extent cx="6466205" cy="681045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8308" cy="6812666"/>
                    </a:xfrm>
                    <a:prstGeom prst="rect">
                      <a:avLst/>
                    </a:prstGeom>
                    <a:noFill/>
                    <a:ln>
                      <a:noFill/>
                    </a:ln>
                  </pic:spPr>
                </pic:pic>
              </a:graphicData>
            </a:graphic>
          </wp:inline>
        </w:drawing>
      </w:r>
    </w:p>
    <w:p w:rsidR="00563224" w:rsidRDefault="00563224" w:rsidP="004030CF">
      <w:pPr>
        <w:ind w:right="630"/>
        <w:rPr>
          <w:rFonts w:ascii="Times New Roman" w:hAnsi="Times New Roman"/>
          <w:sz w:val="24"/>
        </w:rPr>
      </w:pPr>
    </w:p>
    <w:p w:rsidR="000F443E" w:rsidRDefault="000F443E" w:rsidP="004030CF">
      <w:pPr>
        <w:ind w:right="630"/>
        <w:rPr>
          <w:rFonts w:ascii="Times New Roman" w:hAnsi="Times New Roman"/>
          <w:sz w:val="24"/>
        </w:rPr>
      </w:pPr>
    </w:p>
    <w:p w:rsidR="00563224" w:rsidRPr="00044841" w:rsidRDefault="00563224" w:rsidP="004030CF">
      <w:pPr>
        <w:ind w:right="630"/>
        <w:rPr>
          <w:rFonts w:ascii="Times New Roman" w:hAnsi="Times New Roman"/>
          <w:sz w:val="24"/>
        </w:rPr>
      </w:pPr>
      <w:r>
        <w:rPr>
          <w:rFonts w:ascii="Times New Roman" w:hAnsi="Times New Roman"/>
          <w:sz w:val="24"/>
        </w:rPr>
        <w:t xml:space="preserve">Table </w:t>
      </w:r>
      <w:r w:rsidR="00D93C47">
        <w:rPr>
          <w:rFonts w:ascii="Times New Roman" w:hAnsi="Times New Roman"/>
          <w:sz w:val="24"/>
        </w:rPr>
        <w:t>4</w:t>
      </w:r>
      <w:r w:rsidRPr="00044841">
        <w:rPr>
          <w:rFonts w:ascii="Times New Roman" w:hAnsi="Times New Roman"/>
          <w:sz w:val="24"/>
        </w:rPr>
        <w:t xml:space="preserve"> (continued)</w:t>
      </w:r>
    </w:p>
    <w:p w:rsidR="00563224" w:rsidRDefault="00563224" w:rsidP="004030CF">
      <w:pPr>
        <w:ind w:left="-180" w:right="630"/>
      </w:pPr>
      <w:r w:rsidRPr="00931FAD">
        <w:rPr>
          <w:noProof/>
        </w:rPr>
        <w:drawing>
          <wp:inline distT="0" distB="0" distL="0" distR="0" wp14:anchorId="56748345" wp14:editId="4EDCE19B">
            <wp:extent cx="6487493" cy="42100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91834" cy="4212867"/>
                    </a:xfrm>
                    <a:prstGeom prst="rect">
                      <a:avLst/>
                    </a:prstGeom>
                    <a:noFill/>
                    <a:ln>
                      <a:noFill/>
                    </a:ln>
                  </pic:spPr>
                </pic:pic>
              </a:graphicData>
            </a:graphic>
          </wp:inline>
        </w:drawing>
      </w:r>
    </w:p>
    <w:p w:rsidR="00563224" w:rsidRDefault="00563224" w:rsidP="004030CF">
      <w:pPr>
        <w:ind w:right="630"/>
        <w:rPr>
          <w:rFonts w:ascii="Times New Roman" w:hAnsi="Times New Roman"/>
          <w:sz w:val="24"/>
        </w:rPr>
      </w:pPr>
    </w:p>
    <w:p w:rsidR="00563224" w:rsidRPr="00044841" w:rsidRDefault="00563224" w:rsidP="000F443E">
      <w:pPr>
        <w:ind w:right="634"/>
        <w:rPr>
          <w:rFonts w:ascii="Times New Roman" w:hAnsi="Times New Roman"/>
          <w:sz w:val="24"/>
        </w:rPr>
      </w:pPr>
      <w:r w:rsidRPr="00044841">
        <w:rPr>
          <w:rFonts w:ascii="Times New Roman" w:hAnsi="Times New Roman"/>
          <w:sz w:val="24"/>
        </w:rPr>
        <w:t xml:space="preserve">The final </w:t>
      </w:r>
      <w:r w:rsidR="00D93C47">
        <w:rPr>
          <w:rFonts w:ascii="Times New Roman" w:hAnsi="Times New Roman"/>
          <w:sz w:val="24"/>
        </w:rPr>
        <w:t xml:space="preserve">EPS </w:t>
      </w:r>
      <w:r w:rsidRPr="00044841">
        <w:rPr>
          <w:rFonts w:ascii="Times New Roman" w:hAnsi="Times New Roman"/>
          <w:sz w:val="24"/>
        </w:rPr>
        <w:t xml:space="preserve">value </w:t>
      </w:r>
      <w:r>
        <w:rPr>
          <w:rFonts w:ascii="Times New Roman" w:hAnsi="Times New Roman"/>
          <w:sz w:val="24"/>
        </w:rPr>
        <w:t xml:space="preserve">in </w:t>
      </w:r>
      <w:r w:rsidR="004D047D">
        <w:rPr>
          <w:rFonts w:ascii="Times New Roman" w:hAnsi="Times New Roman"/>
          <w:sz w:val="24"/>
        </w:rPr>
        <w:t>T</w:t>
      </w:r>
      <w:r>
        <w:rPr>
          <w:rFonts w:ascii="Times New Roman" w:hAnsi="Times New Roman"/>
          <w:sz w:val="24"/>
        </w:rPr>
        <w:t xml:space="preserve">able </w:t>
      </w:r>
      <w:r w:rsidR="00D93C47">
        <w:rPr>
          <w:rFonts w:ascii="Times New Roman" w:hAnsi="Times New Roman"/>
          <w:sz w:val="24"/>
        </w:rPr>
        <w:t>4</w:t>
      </w:r>
      <w:r>
        <w:rPr>
          <w:rFonts w:ascii="Times New Roman" w:hAnsi="Times New Roman"/>
          <w:sz w:val="24"/>
        </w:rPr>
        <w:t xml:space="preserve"> </w:t>
      </w:r>
      <w:r w:rsidR="00D93C47">
        <w:rPr>
          <w:rFonts w:ascii="Times New Roman" w:hAnsi="Times New Roman"/>
          <w:sz w:val="24"/>
        </w:rPr>
        <w:t xml:space="preserve">above </w:t>
      </w:r>
      <w:r w:rsidRPr="00044841">
        <w:rPr>
          <w:rFonts w:ascii="Times New Roman" w:hAnsi="Times New Roman"/>
          <w:sz w:val="24"/>
        </w:rPr>
        <w:t>is the same as shown in</w:t>
      </w:r>
      <w:r>
        <w:rPr>
          <w:rFonts w:ascii="Times New Roman" w:hAnsi="Times New Roman"/>
          <w:sz w:val="24"/>
        </w:rPr>
        <w:t xml:space="preserve"> the previous table</w:t>
      </w:r>
      <w:r w:rsidRPr="00044841">
        <w:rPr>
          <w:rFonts w:ascii="Times New Roman" w:hAnsi="Times New Roman"/>
          <w:sz w:val="24"/>
        </w:rPr>
        <w:t xml:space="preserve">, </w:t>
      </w:r>
      <w:r>
        <w:rPr>
          <w:rFonts w:ascii="Times New Roman" w:hAnsi="Times New Roman"/>
          <w:sz w:val="24"/>
        </w:rPr>
        <w:t xml:space="preserve">which used the smaller representative set of 20 </w:t>
      </w:r>
      <w:r w:rsidRPr="00044841">
        <w:rPr>
          <w:rFonts w:ascii="Times New Roman" w:hAnsi="Times New Roman"/>
          <w:sz w:val="24"/>
        </w:rPr>
        <w:t xml:space="preserve">CCCTs. </w:t>
      </w:r>
      <w:r>
        <w:rPr>
          <w:rFonts w:ascii="Times New Roman" w:hAnsi="Times New Roman"/>
          <w:sz w:val="24"/>
        </w:rPr>
        <w:t xml:space="preserve">Several CCCT models in </w:t>
      </w:r>
      <w:r w:rsidR="004D047D">
        <w:rPr>
          <w:rFonts w:ascii="Times New Roman" w:hAnsi="Times New Roman"/>
          <w:sz w:val="24"/>
        </w:rPr>
        <w:t>T</w:t>
      </w:r>
      <w:r>
        <w:rPr>
          <w:rFonts w:ascii="Times New Roman" w:hAnsi="Times New Roman"/>
          <w:sz w:val="24"/>
        </w:rPr>
        <w:t>able 2</w:t>
      </w:r>
      <w:r w:rsidRPr="00044841">
        <w:rPr>
          <w:rFonts w:ascii="Times New Roman" w:hAnsi="Times New Roman"/>
          <w:sz w:val="24"/>
        </w:rPr>
        <w:t xml:space="preserve"> are presented in the </w:t>
      </w:r>
      <w:r>
        <w:rPr>
          <w:rFonts w:ascii="Times New Roman" w:hAnsi="Times New Roman"/>
          <w:sz w:val="24"/>
        </w:rPr>
        <w:t xml:space="preserve">slightly more efficient </w:t>
      </w:r>
      <w:r w:rsidRPr="00044841">
        <w:rPr>
          <w:rFonts w:ascii="Times New Roman" w:hAnsi="Times New Roman"/>
          <w:sz w:val="24"/>
        </w:rPr>
        <w:t>2X1 format and a</w:t>
      </w:r>
      <w:r w:rsidR="000F443E">
        <w:rPr>
          <w:rFonts w:ascii="Times New Roman" w:hAnsi="Times New Roman"/>
          <w:sz w:val="24"/>
        </w:rPr>
        <w:t xml:space="preserve"> slightly</w:t>
      </w:r>
      <w:r w:rsidRPr="00044841">
        <w:rPr>
          <w:rFonts w:ascii="Times New Roman" w:hAnsi="Times New Roman"/>
          <w:sz w:val="24"/>
        </w:rPr>
        <w:t xml:space="preserve"> more efficient LM 6000 aero based CCCT is </w:t>
      </w:r>
      <w:r w:rsidR="000F443E">
        <w:rPr>
          <w:rFonts w:ascii="Times New Roman" w:hAnsi="Times New Roman"/>
          <w:sz w:val="24"/>
        </w:rPr>
        <w:t>substituted into</w:t>
      </w:r>
      <w:r w:rsidRPr="00044841">
        <w:rPr>
          <w:rFonts w:ascii="Times New Roman" w:hAnsi="Times New Roman"/>
          <w:sz w:val="24"/>
        </w:rPr>
        <w:t xml:space="preserve"> the calculator. Small alter</w:t>
      </w:r>
      <w:r>
        <w:rPr>
          <w:rFonts w:ascii="Times New Roman" w:hAnsi="Times New Roman"/>
          <w:sz w:val="24"/>
        </w:rPr>
        <w:t>ations to the CCCT formats, sub-</w:t>
      </w:r>
      <w:r w:rsidR="000F443E">
        <w:rPr>
          <w:rFonts w:ascii="Times New Roman" w:hAnsi="Times New Roman"/>
          <w:sz w:val="24"/>
        </w:rPr>
        <w:t>model variants,</w:t>
      </w:r>
      <w:r w:rsidRPr="00044841">
        <w:rPr>
          <w:rFonts w:ascii="Times New Roman" w:hAnsi="Times New Roman"/>
          <w:sz w:val="24"/>
        </w:rPr>
        <w:t xml:space="preserve"> type of aero CCCT selected, etc. can b</w:t>
      </w:r>
      <w:r>
        <w:rPr>
          <w:rFonts w:ascii="Times New Roman" w:hAnsi="Times New Roman"/>
          <w:sz w:val="24"/>
        </w:rPr>
        <w:t>e made that will drive the</w:t>
      </w:r>
      <w:r w:rsidRPr="00044841">
        <w:rPr>
          <w:rFonts w:ascii="Times New Roman" w:hAnsi="Times New Roman"/>
          <w:sz w:val="24"/>
        </w:rPr>
        <w:t xml:space="preserve"> EPS </w:t>
      </w:r>
      <w:r w:rsidR="000F443E">
        <w:rPr>
          <w:rFonts w:ascii="Times New Roman" w:hAnsi="Times New Roman"/>
          <w:sz w:val="24"/>
        </w:rPr>
        <w:t xml:space="preserve">calculator </w:t>
      </w:r>
      <w:r w:rsidRPr="00044841">
        <w:rPr>
          <w:rFonts w:ascii="Times New Roman" w:hAnsi="Times New Roman"/>
          <w:sz w:val="24"/>
        </w:rPr>
        <w:t>value of 925 lb</w:t>
      </w:r>
      <w:proofErr w:type="gramStart"/>
      <w:r w:rsidRPr="00044841">
        <w:rPr>
          <w:rFonts w:ascii="Times New Roman" w:hAnsi="Times New Roman"/>
          <w:sz w:val="24"/>
        </w:rPr>
        <w:t>./</w:t>
      </w:r>
      <w:proofErr w:type="gramEnd"/>
      <w:r w:rsidRPr="00044841">
        <w:rPr>
          <w:rFonts w:ascii="Times New Roman" w:hAnsi="Times New Roman"/>
          <w:sz w:val="24"/>
        </w:rPr>
        <w:t xml:space="preserve">MWh </w:t>
      </w:r>
      <w:r>
        <w:rPr>
          <w:rFonts w:ascii="Times New Roman" w:hAnsi="Times New Roman"/>
          <w:sz w:val="24"/>
        </w:rPr>
        <w:t xml:space="preserve">in </w:t>
      </w:r>
      <w:r w:rsidR="004D047D">
        <w:rPr>
          <w:rFonts w:ascii="Times New Roman" w:hAnsi="Times New Roman"/>
          <w:sz w:val="24"/>
        </w:rPr>
        <w:t>T</w:t>
      </w:r>
      <w:r>
        <w:rPr>
          <w:rFonts w:ascii="Times New Roman" w:hAnsi="Times New Roman"/>
          <w:sz w:val="24"/>
        </w:rPr>
        <w:t xml:space="preserve">able </w:t>
      </w:r>
      <w:r w:rsidR="00D93C47">
        <w:rPr>
          <w:rFonts w:ascii="Times New Roman" w:hAnsi="Times New Roman"/>
          <w:sz w:val="24"/>
        </w:rPr>
        <w:t>4</w:t>
      </w:r>
      <w:r>
        <w:rPr>
          <w:rFonts w:ascii="Times New Roman" w:hAnsi="Times New Roman"/>
          <w:sz w:val="24"/>
        </w:rPr>
        <w:t xml:space="preserve"> </w:t>
      </w:r>
      <w:r w:rsidRPr="00044841">
        <w:rPr>
          <w:rFonts w:ascii="Times New Roman" w:hAnsi="Times New Roman"/>
          <w:sz w:val="24"/>
        </w:rPr>
        <w:t>by plus or minus 4 or 5 lb./MWh.</w:t>
      </w:r>
      <w:r>
        <w:rPr>
          <w:rFonts w:ascii="Times New Roman" w:hAnsi="Times New Roman"/>
          <w:sz w:val="24"/>
        </w:rPr>
        <w:t xml:space="preserve"> We feel that this analysis, following the adjustments to the EPS calculator and using the full complement of the </w:t>
      </w:r>
      <w:r w:rsidR="0070119F">
        <w:rPr>
          <w:rFonts w:ascii="Times New Roman" w:hAnsi="Times New Roman"/>
          <w:sz w:val="24"/>
        </w:rPr>
        <w:t>20</w:t>
      </w:r>
      <w:r w:rsidRPr="00044841">
        <w:rPr>
          <w:rFonts w:ascii="Times New Roman" w:hAnsi="Times New Roman"/>
          <w:sz w:val="24"/>
        </w:rPr>
        <w:t>17 national CCCT survey data set</w:t>
      </w:r>
      <w:r>
        <w:rPr>
          <w:rFonts w:ascii="Times New Roman" w:hAnsi="Times New Roman"/>
          <w:sz w:val="24"/>
        </w:rPr>
        <w:t xml:space="preserve"> confirms that the small downward adjustment of the EPS value to </w:t>
      </w:r>
      <w:r w:rsidRPr="00044841">
        <w:rPr>
          <w:rFonts w:ascii="Times New Roman" w:hAnsi="Times New Roman"/>
          <w:sz w:val="24"/>
        </w:rPr>
        <w:t>925 lb</w:t>
      </w:r>
      <w:proofErr w:type="gramStart"/>
      <w:r w:rsidRPr="00044841">
        <w:rPr>
          <w:rFonts w:ascii="Times New Roman" w:hAnsi="Times New Roman"/>
          <w:sz w:val="24"/>
        </w:rPr>
        <w:t>./</w:t>
      </w:r>
      <w:proofErr w:type="gramEnd"/>
      <w:r w:rsidRPr="00044841">
        <w:rPr>
          <w:rFonts w:ascii="Times New Roman" w:hAnsi="Times New Roman"/>
          <w:sz w:val="24"/>
        </w:rPr>
        <w:t>MWh</w:t>
      </w:r>
      <w:r>
        <w:rPr>
          <w:rFonts w:ascii="Times New Roman" w:hAnsi="Times New Roman"/>
          <w:sz w:val="24"/>
        </w:rPr>
        <w:t xml:space="preserve"> is both justified and reasonable. </w:t>
      </w:r>
    </w:p>
    <w:p w:rsidR="00563224" w:rsidRDefault="00563224" w:rsidP="00462801">
      <w:pPr>
        <w:spacing w:after="120"/>
        <w:ind w:right="720"/>
        <w:rPr>
          <w:rFonts w:ascii="Times New Roman" w:hAnsi="Times New Roman"/>
          <w:b/>
          <w:sz w:val="26"/>
          <w:szCs w:val="26"/>
          <w:u w:val="single"/>
        </w:rPr>
      </w:pPr>
    </w:p>
    <w:p w:rsidR="00462801" w:rsidRDefault="00462801" w:rsidP="00F52EED">
      <w:pPr>
        <w:pStyle w:val="ListParagraph"/>
        <w:ind w:left="-810"/>
        <w:rPr>
          <w:noProof/>
        </w:rPr>
      </w:pPr>
    </w:p>
    <w:p w:rsidR="00462801" w:rsidRDefault="00462801" w:rsidP="00F52EED">
      <w:pPr>
        <w:pStyle w:val="ListParagraph"/>
        <w:ind w:left="-810"/>
        <w:rPr>
          <w:noProof/>
        </w:rPr>
      </w:pPr>
    </w:p>
    <w:p w:rsidR="00462801" w:rsidRDefault="00462801" w:rsidP="00F52EED">
      <w:pPr>
        <w:pStyle w:val="ListParagraph"/>
        <w:ind w:left="-810"/>
        <w:rPr>
          <w:noProof/>
        </w:rPr>
      </w:pPr>
    </w:p>
    <w:p w:rsidR="00462801" w:rsidRDefault="00462801" w:rsidP="00F52EED">
      <w:pPr>
        <w:pStyle w:val="ListParagraph"/>
        <w:ind w:left="-810"/>
        <w:rPr>
          <w:noProof/>
        </w:rPr>
      </w:pPr>
    </w:p>
    <w:p w:rsidR="00462801" w:rsidRDefault="00462801" w:rsidP="00F52EED">
      <w:pPr>
        <w:pStyle w:val="ListParagraph"/>
        <w:ind w:left="-810"/>
        <w:rPr>
          <w:noProof/>
        </w:rPr>
      </w:pPr>
    </w:p>
    <w:p w:rsidR="00462801" w:rsidRPr="00B40DB9" w:rsidRDefault="00462801" w:rsidP="00563224"/>
    <w:sectPr w:rsidR="00462801" w:rsidRPr="00B40DB9" w:rsidSect="000F443E">
      <w:pgSz w:w="12240" w:h="15840"/>
      <w:pgMar w:top="1440" w:right="63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4B" w:rsidRDefault="005D2B4B" w:rsidP="005C7FB3">
      <w:pPr>
        <w:spacing w:line="240" w:lineRule="auto"/>
      </w:pPr>
      <w:r>
        <w:separator/>
      </w:r>
    </w:p>
  </w:endnote>
  <w:endnote w:type="continuationSeparator" w:id="0">
    <w:p w:rsidR="005D2B4B" w:rsidRDefault="005D2B4B" w:rsidP="005C7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4B" w:rsidRDefault="005D2B4B" w:rsidP="005C7FB3">
      <w:pPr>
        <w:spacing w:line="240" w:lineRule="auto"/>
      </w:pPr>
      <w:r>
        <w:separator/>
      </w:r>
    </w:p>
  </w:footnote>
  <w:footnote w:type="continuationSeparator" w:id="0">
    <w:p w:rsidR="005D2B4B" w:rsidRDefault="005D2B4B" w:rsidP="005C7FB3">
      <w:pPr>
        <w:spacing w:line="240" w:lineRule="auto"/>
      </w:pPr>
      <w:r>
        <w:continuationSeparator/>
      </w:r>
    </w:p>
  </w:footnote>
  <w:footnote w:id="1">
    <w:p w:rsidR="005C7FB3" w:rsidRPr="00613922" w:rsidRDefault="005C7FB3" w:rsidP="004C0DD2">
      <w:pPr>
        <w:pStyle w:val="FootnoteText"/>
        <w:ind w:right="270"/>
        <w:rPr>
          <w:rFonts w:ascii="Times New Roman" w:hAnsi="Times New Roman"/>
        </w:rPr>
      </w:pPr>
      <w:r w:rsidRPr="00613922">
        <w:rPr>
          <w:rStyle w:val="FootnoteReference"/>
          <w:rFonts w:ascii="Times New Roman" w:hAnsi="Times New Roman"/>
        </w:rPr>
        <w:footnoteRef/>
      </w:r>
      <w:r w:rsidRPr="00613922">
        <w:rPr>
          <w:rFonts w:ascii="Times New Roman" w:hAnsi="Times New Roman"/>
        </w:rPr>
        <w:t xml:space="preserve"> Baseload resources</w:t>
      </w:r>
      <w:r w:rsidR="00AB2DDC" w:rsidRPr="00613922">
        <w:rPr>
          <w:rFonts w:ascii="Times New Roman" w:hAnsi="Times New Roman"/>
        </w:rPr>
        <w:t xml:space="preserve"> in Washington State</w:t>
      </w:r>
      <w:r w:rsidRPr="00613922">
        <w:rPr>
          <w:rFonts w:ascii="Times New Roman" w:hAnsi="Times New Roman"/>
        </w:rPr>
        <w:t xml:space="preserve"> are those permitted (not required) to operate 60 or more percent of the time.</w:t>
      </w:r>
    </w:p>
  </w:footnote>
  <w:footnote w:id="2">
    <w:p w:rsidR="006D4610" w:rsidRPr="00613922" w:rsidRDefault="006D4610" w:rsidP="004C0DD2">
      <w:pPr>
        <w:pStyle w:val="FootnoteText"/>
        <w:tabs>
          <w:tab w:val="clear" w:pos="216"/>
          <w:tab w:val="left" w:pos="0"/>
        </w:tabs>
        <w:ind w:left="0" w:right="270" w:firstLine="0"/>
        <w:rPr>
          <w:rFonts w:ascii="Times New Roman" w:hAnsi="Times New Roman"/>
        </w:rPr>
      </w:pPr>
      <w:r w:rsidRPr="00613922">
        <w:rPr>
          <w:rStyle w:val="FootnoteReference"/>
          <w:rFonts w:ascii="Times New Roman" w:hAnsi="Times New Roman"/>
        </w:rPr>
        <w:footnoteRef/>
      </w:r>
      <w:r w:rsidRPr="00613922">
        <w:rPr>
          <w:rFonts w:ascii="Times New Roman" w:hAnsi="Times New Roman"/>
        </w:rPr>
        <w:t xml:space="preserve"> </w:t>
      </w:r>
      <w:r w:rsidR="00823E42" w:rsidRPr="00613922">
        <w:rPr>
          <w:rFonts w:ascii="Times New Roman" w:hAnsi="Times New Roman"/>
        </w:rPr>
        <w:t>Often CCCT power plant projects are announced, but never taken to completion. Commonly</w:t>
      </w:r>
      <w:r w:rsidRPr="00613922">
        <w:rPr>
          <w:rFonts w:ascii="Times New Roman" w:hAnsi="Times New Roman"/>
        </w:rPr>
        <w:t xml:space="preserve"> CCCTs </w:t>
      </w:r>
      <w:r w:rsidR="00823E42" w:rsidRPr="00613922">
        <w:rPr>
          <w:rFonts w:ascii="Times New Roman" w:hAnsi="Times New Roman"/>
        </w:rPr>
        <w:t>are</w:t>
      </w:r>
      <w:r w:rsidRPr="00613922">
        <w:rPr>
          <w:rFonts w:ascii="Times New Roman" w:hAnsi="Times New Roman"/>
        </w:rPr>
        <w:t xml:space="preserve"> ordered</w:t>
      </w:r>
      <w:r w:rsidR="00823E42" w:rsidRPr="00613922">
        <w:rPr>
          <w:rFonts w:ascii="Times New Roman" w:hAnsi="Times New Roman"/>
        </w:rPr>
        <w:t xml:space="preserve"> and a spot in the production queue is reserved</w:t>
      </w:r>
      <w:r w:rsidRPr="00613922">
        <w:rPr>
          <w:rFonts w:ascii="Times New Roman" w:hAnsi="Times New Roman"/>
        </w:rPr>
        <w:t xml:space="preserve">, but </w:t>
      </w:r>
      <w:r w:rsidR="00823E42" w:rsidRPr="00613922">
        <w:rPr>
          <w:rFonts w:ascii="Times New Roman" w:hAnsi="Times New Roman"/>
        </w:rPr>
        <w:t>the machines are not fully purchased until the power plant project is well under way. O</w:t>
      </w:r>
      <w:r w:rsidRPr="00613922">
        <w:rPr>
          <w:rFonts w:ascii="Times New Roman" w:hAnsi="Times New Roman"/>
        </w:rPr>
        <w:t xml:space="preserve">n occasion </w:t>
      </w:r>
      <w:r w:rsidR="00613922">
        <w:rPr>
          <w:rFonts w:ascii="Times New Roman" w:hAnsi="Times New Roman"/>
        </w:rPr>
        <w:t>projects where site development</w:t>
      </w:r>
      <w:r w:rsidR="00823E42" w:rsidRPr="00613922">
        <w:rPr>
          <w:rFonts w:ascii="Times New Roman" w:hAnsi="Times New Roman"/>
        </w:rPr>
        <w:t xml:space="preserve"> has begun </w:t>
      </w:r>
      <w:r w:rsidRPr="00613922">
        <w:rPr>
          <w:rFonts w:ascii="Times New Roman" w:hAnsi="Times New Roman"/>
        </w:rPr>
        <w:t xml:space="preserve">are canceled. </w:t>
      </w:r>
    </w:p>
  </w:footnote>
  <w:footnote w:id="3">
    <w:p w:rsidR="004030CF" w:rsidRPr="002365D0" w:rsidRDefault="004030CF">
      <w:pPr>
        <w:pStyle w:val="FootnoteText"/>
        <w:rPr>
          <w:rFonts w:ascii="Times New Roman" w:hAnsi="Times New Roman"/>
        </w:rPr>
      </w:pPr>
      <w:r w:rsidRPr="002365D0">
        <w:rPr>
          <w:rStyle w:val="FootnoteReference"/>
          <w:rFonts w:ascii="Times New Roman" w:hAnsi="Times New Roman"/>
        </w:rPr>
        <w:footnoteRef/>
      </w:r>
      <w:r w:rsidRPr="002365D0">
        <w:rPr>
          <w:rFonts w:ascii="Times New Roman" w:hAnsi="Times New Roman"/>
        </w:rPr>
        <w:t xml:space="preserve"> It is owned by an independent power producer and is </w:t>
      </w:r>
      <w:r w:rsidR="0070119F">
        <w:rPr>
          <w:rFonts w:ascii="Times New Roman" w:hAnsi="Times New Roman"/>
        </w:rPr>
        <w:t>operated at a low capacity factor.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EE7F80"/>
    <w:lvl w:ilvl="0">
      <w:start w:val="1"/>
      <w:numFmt w:val="decimal"/>
      <w:pStyle w:val="ListNumber"/>
      <w:lvlText w:val="%1."/>
      <w:lvlJc w:val="left"/>
      <w:pPr>
        <w:tabs>
          <w:tab w:val="num" w:pos="360"/>
        </w:tabs>
        <w:ind w:left="360" w:hanging="360"/>
      </w:pPr>
      <w:rPr>
        <w:b w:val="0"/>
      </w:rPr>
    </w:lvl>
  </w:abstractNum>
  <w:abstractNum w:abstractNumId="1" w15:restartNumberingAfterBreak="0">
    <w:nsid w:val="03A33F7B"/>
    <w:multiLevelType w:val="hybridMultilevel"/>
    <w:tmpl w:val="09509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4D3F"/>
    <w:multiLevelType w:val="hybridMultilevel"/>
    <w:tmpl w:val="441E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1D60"/>
    <w:multiLevelType w:val="hybridMultilevel"/>
    <w:tmpl w:val="3AC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01155"/>
    <w:multiLevelType w:val="hybridMultilevel"/>
    <w:tmpl w:val="3D2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81B75"/>
    <w:multiLevelType w:val="hybridMultilevel"/>
    <w:tmpl w:val="3BDA9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6F28"/>
    <w:multiLevelType w:val="hybridMultilevel"/>
    <w:tmpl w:val="1DFC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F3CEE"/>
    <w:multiLevelType w:val="hybridMultilevel"/>
    <w:tmpl w:val="6ED2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031EFE"/>
    <w:multiLevelType w:val="hybridMultilevel"/>
    <w:tmpl w:val="554C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550A6"/>
    <w:multiLevelType w:val="hybridMultilevel"/>
    <w:tmpl w:val="507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6"/>
  </w:num>
  <w:num w:numId="6">
    <w:abstractNumId w:val="9"/>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B3"/>
    <w:rsid w:val="000325C7"/>
    <w:rsid w:val="00047F3B"/>
    <w:rsid w:val="00075668"/>
    <w:rsid w:val="00093993"/>
    <w:rsid w:val="000A7778"/>
    <w:rsid w:val="000E185B"/>
    <w:rsid w:val="000F443E"/>
    <w:rsid w:val="001307E3"/>
    <w:rsid w:val="00135BCB"/>
    <w:rsid w:val="00161309"/>
    <w:rsid w:val="00170F8F"/>
    <w:rsid w:val="0018252C"/>
    <w:rsid w:val="001C2C76"/>
    <w:rsid w:val="00215053"/>
    <w:rsid w:val="00230DA1"/>
    <w:rsid w:val="002365D0"/>
    <w:rsid w:val="002605FA"/>
    <w:rsid w:val="00296C9B"/>
    <w:rsid w:val="002C1275"/>
    <w:rsid w:val="002D2454"/>
    <w:rsid w:val="00365A6A"/>
    <w:rsid w:val="00383350"/>
    <w:rsid w:val="003B6FA0"/>
    <w:rsid w:val="003D3CA1"/>
    <w:rsid w:val="004030CF"/>
    <w:rsid w:val="00462801"/>
    <w:rsid w:val="004C0DD2"/>
    <w:rsid w:val="004C2C03"/>
    <w:rsid w:val="004D047D"/>
    <w:rsid w:val="00504DC7"/>
    <w:rsid w:val="00517274"/>
    <w:rsid w:val="00541162"/>
    <w:rsid w:val="00563224"/>
    <w:rsid w:val="00596A1D"/>
    <w:rsid w:val="005C7FB3"/>
    <w:rsid w:val="005D2B4B"/>
    <w:rsid w:val="00613922"/>
    <w:rsid w:val="00632711"/>
    <w:rsid w:val="00664F6C"/>
    <w:rsid w:val="00672D67"/>
    <w:rsid w:val="006C6916"/>
    <w:rsid w:val="006D20B5"/>
    <w:rsid w:val="006D4610"/>
    <w:rsid w:val="006E5824"/>
    <w:rsid w:val="006E685C"/>
    <w:rsid w:val="0070119F"/>
    <w:rsid w:val="00787E1A"/>
    <w:rsid w:val="007937EE"/>
    <w:rsid w:val="00823E42"/>
    <w:rsid w:val="00833536"/>
    <w:rsid w:val="00876DB8"/>
    <w:rsid w:val="008E3092"/>
    <w:rsid w:val="009D79B9"/>
    <w:rsid w:val="00A07522"/>
    <w:rsid w:val="00A13865"/>
    <w:rsid w:val="00A55B08"/>
    <w:rsid w:val="00A85392"/>
    <w:rsid w:val="00AA6F46"/>
    <w:rsid w:val="00AB0DFD"/>
    <w:rsid w:val="00AB2DDC"/>
    <w:rsid w:val="00AC6A4E"/>
    <w:rsid w:val="00B40DB9"/>
    <w:rsid w:val="00B45DC2"/>
    <w:rsid w:val="00BA3408"/>
    <w:rsid w:val="00BF1635"/>
    <w:rsid w:val="00C157C3"/>
    <w:rsid w:val="00C369BB"/>
    <w:rsid w:val="00C806E7"/>
    <w:rsid w:val="00CA6AC3"/>
    <w:rsid w:val="00CB4E24"/>
    <w:rsid w:val="00D03C78"/>
    <w:rsid w:val="00D35EFA"/>
    <w:rsid w:val="00D93C47"/>
    <w:rsid w:val="00DA7CCE"/>
    <w:rsid w:val="00DC7E44"/>
    <w:rsid w:val="00E97332"/>
    <w:rsid w:val="00ED533C"/>
    <w:rsid w:val="00F02822"/>
    <w:rsid w:val="00F22D2F"/>
    <w:rsid w:val="00F41AF2"/>
    <w:rsid w:val="00F52EED"/>
    <w:rsid w:val="00FA7492"/>
    <w:rsid w:val="00FC6A69"/>
    <w:rsid w:val="00FD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CE99"/>
  <w15:chartTrackingRefBased/>
  <w15:docId w15:val="{2AA69265-A2D9-48AE-85C6-FA669003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B3"/>
    <w:pPr>
      <w:spacing w:after="0" w:line="264" w:lineRule="auto"/>
    </w:pPr>
    <w:rPr>
      <w:rFonts w:ascii="Arial" w:eastAsia="Times New Roman" w:hAnsi="Arial" w:cs="Times New Roman"/>
      <w:szCs w:val="24"/>
    </w:rPr>
  </w:style>
  <w:style w:type="paragraph" w:styleId="Heading1">
    <w:name w:val="heading 1"/>
    <w:basedOn w:val="Normal"/>
    <w:next w:val="BodyText"/>
    <w:link w:val="Heading1Char"/>
    <w:qFormat/>
    <w:rsid w:val="005C7FB3"/>
    <w:pPr>
      <w:keepNext/>
      <w:keepLines/>
      <w:spacing w:before="360"/>
      <w:outlineLvl w:val="0"/>
    </w:pPr>
    <w:rPr>
      <w:rFonts w:asciiTheme="majorHAnsi" w:hAnsiTheme="majorHAnsi" w:cs="Arial"/>
      <w:b/>
      <w:bCs/>
      <w:sz w:val="26"/>
      <w:u w:val="single"/>
    </w:rPr>
  </w:style>
  <w:style w:type="paragraph" w:styleId="Heading2">
    <w:name w:val="heading 2"/>
    <w:basedOn w:val="Normal"/>
    <w:next w:val="Normal"/>
    <w:link w:val="Heading2Char"/>
    <w:uiPriority w:val="9"/>
    <w:semiHidden/>
    <w:unhideWhenUsed/>
    <w:qFormat/>
    <w:rsid w:val="00365A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FB3"/>
    <w:rPr>
      <w:rFonts w:asciiTheme="majorHAnsi" w:eastAsia="Times New Roman" w:hAnsiTheme="majorHAnsi" w:cs="Arial"/>
      <w:b/>
      <w:bCs/>
      <w:sz w:val="26"/>
      <w:szCs w:val="24"/>
      <w:u w:val="single"/>
    </w:rPr>
  </w:style>
  <w:style w:type="paragraph" w:styleId="BodyText">
    <w:name w:val="Body Text"/>
    <w:basedOn w:val="Normal"/>
    <w:link w:val="BodyTextChar"/>
    <w:uiPriority w:val="99"/>
    <w:rsid w:val="005C7FB3"/>
    <w:pPr>
      <w:spacing w:before="240"/>
    </w:pPr>
    <w:rPr>
      <w:szCs w:val="20"/>
    </w:rPr>
  </w:style>
  <w:style w:type="character" w:customStyle="1" w:styleId="BodyTextChar">
    <w:name w:val="Body Text Char"/>
    <w:basedOn w:val="DefaultParagraphFont"/>
    <w:link w:val="BodyText"/>
    <w:uiPriority w:val="99"/>
    <w:rsid w:val="005C7FB3"/>
    <w:rPr>
      <w:rFonts w:ascii="Arial" w:eastAsia="Times New Roman" w:hAnsi="Arial" w:cs="Times New Roman"/>
      <w:szCs w:val="20"/>
    </w:rPr>
  </w:style>
  <w:style w:type="paragraph" w:styleId="FootnoteText">
    <w:name w:val="footnote text"/>
    <w:basedOn w:val="Normal"/>
    <w:link w:val="FootnoteTextChar"/>
    <w:uiPriority w:val="99"/>
    <w:semiHidden/>
    <w:rsid w:val="005C7FB3"/>
    <w:pPr>
      <w:tabs>
        <w:tab w:val="left" w:pos="216"/>
      </w:tabs>
      <w:spacing w:before="40" w:line="240" w:lineRule="auto"/>
      <w:ind w:left="216" w:hanging="216"/>
    </w:pPr>
    <w:rPr>
      <w:sz w:val="18"/>
      <w:szCs w:val="20"/>
    </w:rPr>
  </w:style>
  <w:style w:type="character" w:customStyle="1" w:styleId="FootnoteTextChar">
    <w:name w:val="Footnote Text Char"/>
    <w:basedOn w:val="DefaultParagraphFont"/>
    <w:link w:val="FootnoteText"/>
    <w:uiPriority w:val="99"/>
    <w:semiHidden/>
    <w:rsid w:val="005C7FB3"/>
    <w:rPr>
      <w:rFonts w:ascii="Arial" w:eastAsia="Times New Roman" w:hAnsi="Arial" w:cs="Times New Roman"/>
      <w:sz w:val="18"/>
      <w:szCs w:val="20"/>
    </w:rPr>
  </w:style>
  <w:style w:type="character" w:styleId="FootnoteReference">
    <w:name w:val="footnote reference"/>
    <w:basedOn w:val="DefaultParagraphFont"/>
    <w:uiPriority w:val="99"/>
    <w:semiHidden/>
    <w:rsid w:val="005C7FB3"/>
    <w:rPr>
      <w:vertAlign w:val="superscript"/>
    </w:rPr>
  </w:style>
  <w:style w:type="character" w:styleId="Hyperlink">
    <w:name w:val="Hyperlink"/>
    <w:basedOn w:val="DefaultParagraphFont"/>
    <w:uiPriority w:val="99"/>
    <w:rsid w:val="005C7FB3"/>
    <w:rPr>
      <w:color w:val="0000FF"/>
      <w:u w:val="single"/>
    </w:rPr>
  </w:style>
  <w:style w:type="character" w:customStyle="1" w:styleId="Heading2Char">
    <w:name w:val="Heading 2 Char"/>
    <w:basedOn w:val="DefaultParagraphFont"/>
    <w:link w:val="Heading2"/>
    <w:uiPriority w:val="9"/>
    <w:semiHidden/>
    <w:rsid w:val="00365A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5A6A"/>
    <w:pPr>
      <w:spacing w:line="240" w:lineRule="auto"/>
      <w:ind w:left="720"/>
      <w:contextualSpacing/>
    </w:pPr>
    <w:rPr>
      <w:rFonts w:ascii="Times New Roman" w:hAnsi="Times New Roman"/>
      <w:sz w:val="24"/>
    </w:rPr>
  </w:style>
  <w:style w:type="paragraph" w:styleId="ListNumber">
    <w:name w:val="List Number"/>
    <w:basedOn w:val="Normal"/>
    <w:uiPriority w:val="99"/>
    <w:rsid w:val="00365A6A"/>
    <w:pPr>
      <w:numPr>
        <w:numId w:val="2"/>
      </w:numPr>
      <w:spacing w:before="240" w:line="276" w:lineRule="auto"/>
    </w:pPr>
    <w:rPr>
      <w:rFonts w:ascii="Times New Roman" w:hAnsi="Times New Roman"/>
      <w:sz w:val="24"/>
    </w:rPr>
  </w:style>
  <w:style w:type="paragraph" w:styleId="PlainText">
    <w:name w:val="Plain Text"/>
    <w:basedOn w:val="Normal"/>
    <w:link w:val="PlainTextChar"/>
    <w:uiPriority w:val="99"/>
    <w:semiHidden/>
    <w:unhideWhenUsed/>
    <w:rsid w:val="00462801"/>
    <w:pPr>
      <w:spacing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462801"/>
    <w:rPr>
      <w:rFonts w:ascii="Calibri" w:hAnsi="Calibri"/>
      <w:szCs w:val="21"/>
    </w:rPr>
  </w:style>
  <w:style w:type="paragraph" w:styleId="NormalWeb">
    <w:name w:val="Normal (Web)"/>
    <w:basedOn w:val="Normal"/>
    <w:uiPriority w:val="99"/>
    <w:semiHidden/>
    <w:unhideWhenUsed/>
    <w:rsid w:val="00462801"/>
    <w:pPr>
      <w:spacing w:before="100" w:beforeAutospacing="1" w:after="100" w:afterAutospacing="1"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605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5F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32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80.80.050"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A40EB-92C6-4ABA-B6CE-93C403D0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Nothstein, Greg (COM)</dc:creator>
  <cp:keywords/>
  <dc:description/>
  <cp:lastModifiedBy>Nothstein, Greg (COM)</cp:lastModifiedBy>
  <cp:revision>2</cp:revision>
  <cp:lastPrinted>2018-07-12T19:36:00Z</cp:lastPrinted>
  <dcterms:created xsi:type="dcterms:W3CDTF">2018-08-13T21:53:00Z</dcterms:created>
  <dcterms:modified xsi:type="dcterms:W3CDTF">2018-08-13T21:53:00Z</dcterms:modified>
</cp:coreProperties>
</file>