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82B" w:rsidRPr="0098082B" w:rsidRDefault="0098082B" w:rsidP="0098082B">
      <w:pPr>
        <w:ind w:right="90"/>
        <w:rPr>
          <w:rFonts w:ascii="Times New Roman" w:hAnsi="Times New Roman"/>
          <w:b/>
          <w:sz w:val="26"/>
          <w:szCs w:val="26"/>
          <w:u w:val="single"/>
        </w:rPr>
      </w:pPr>
      <w:bookmarkStart w:id="0" w:name="_GoBack"/>
      <w:bookmarkEnd w:id="0"/>
      <w:r w:rsidRPr="0098082B">
        <w:rPr>
          <w:rFonts w:ascii="Times New Roman" w:hAnsi="Times New Roman"/>
          <w:b/>
          <w:sz w:val="26"/>
          <w:szCs w:val="26"/>
          <w:u w:val="single"/>
        </w:rPr>
        <w:t xml:space="preserve">Appendix B: 2017 EPS calculator </w:t>
      </w:r>
      <w:r w:rsidR="00624664">
        <w:rPr>
          <w:rFonts w:ascii="Times New Roman" w:hAnsi="Times New Roman"/>
          <w:b/>
          <w:sz w:val="26"/>
          <w:szCs w:val="26"/>
          <w:u w:val="single"/>
        </w:rPr>
        <w:t xml:space="preserve">heat rate </w:t>
      </w:r>
      <w:r w:rsidRPr="0098082B">
        <w:rPr>
          <w:rFonts w:ascii="Times New Roman" w:hAnsi="Times New Roman"/>
          <w:b/>
          <w:sz w:val="26"/>
          <w:szCs w:val="26"/>
          <w:u w:val="single"/>
        </w:rPr>
        <w:t>adjustment parameters</w:t>
      </w:r>
    </w:p>
    <w:p w:rsidR="0098082B" w:rsidRPr="00B40DB9" w:rsidRDefault="0098082B" w:rsidP="0098082B">
      <w:pPr>
        <w:ind w:right="90"/>
        <w:rPr>
          <w:rFonts w:ascii="Times New Roman" w:hAnsi="Times New Roman"/>
          <w:b/>
          <w:sz w:val="24"/>
        </w:rPr>
      </w:pPr>
      <w:r w:rsidRPr="00B40DB9">
        <w:rPr>
          <w:rFonts w:ascii="Times New Roman" w:hAnsi="Times New Roman"/>
          <w:b/>
          <w:sz w:val="24"/>
        </w:rPr>
        <w:t>CCCT heat rates</w:t>
      </w:r>
      <w:r w:rsidRPr="00B40DB9">
        <w:rPr>
          <w:rFonts w:ascii="Times New Roman" w:hAnsi="Times New Roman"/>
          <w:sz w:val="24"/>
        </w:rPr>
        <w:t>: Commerce obtained reference heat rates for the C</w:t>
      </w:r>
      <w:r>
        <w:rPr>
          <w:rFonts w:ascii="Times New Roman" w:hAnsi="Times New Roman"/>
          <w:sz w:val="24"/>
        </w:rPr>
        <w:t>CCT configurations from the 2016 and 2017</w:t>
      </w:r>
      <w:r w:rsidRPr="00B40DB9">
        <w:rPr>
          <w:rFonts w:ascii="Times New Roman" w:hAnsi="Times New Roman"/>
          <w:sz w:val="24"/>
        </w:rPr>
        <w:t xml:space="preserve"> Gas Turbine World Handbooks (converting to higher heating value heat rates using the conversion factor </w:t>
      </w:r>
      <w:r>
        <w:rPr>
          <w:rFonts w:ascii="Times New Roman" w:hAnsi="Times New Roman"/>
          <w:sz w:val="24"/>
        </w:rPr>
        <w:t xml:space="preserve">of </w:t>
      </w:r>
      <w:r w:rsidRPr="00B40DB9">
        <w:rPr>
          <w:rFonts w:ascii="Times New Roman" w:hAnsi="Times New Roman"/>
          <w:sz w:val="24"/>
        </w:rPr>
        <w:t>1.108).</w:t>
      </w:r>
    </w:p>
    <w:p w:rsidR="0098082B" w:rsidRPr="00B40DB9" w:rsidRDefault="0098082B" w:rsidP="0098082B">
      <w:pPr>
        <w:ind w:right="90"/>
        <w:rPr>
          <w:rFonts w:ascii="Times New Roman" w:hAnsi="Times New Roman"/>
          <w:sz w:val="24"/>
        </w:rPr>
      </w:pPr>
      <w:r w:rsidRPr="00B40DB9">
        <w:rPr>
          <w:rFonts w:ascii="Times New Roman" w:hAnsi="Times New Roman"/>
          <w:b/>
          <w:sz w:val="24"/>
        </w:rPr>
        <w:t>System loss adjustment</w:t>
      </w:r>
      <w:r w:rsidRPr="00B40DB9">
        <w:rPr>
          <w:rFonts w:ascii="Times New Roman" w:hAnsi="Times New Roman"/>
          <w:sz w:val="24"/>
        </w:rPr>
        <w:t>: A uniform adjustment (percentage increase) of 2 percent was applied to the CCCT heat rates noted above to account for typical system losses: inlet and exhaust pressure drops, transformer loss, emission control system loss, etc.</w:t>
      </w:r>
      <w:r>
        <w:rPr>
          <w:rFonts w:ascii="Times New Roman" w:hAnsi="Times New Roman"/>
          <w:sz w:val="24"/>
        </w:rPr>
        <w:t xml:space="preserve"> </w:t>
      </w:r>
    </w:p>
    <w:p w:rsidR="0098082B" w:rsidRPr="00B40DB9" w:rsidRDefault="0098082B" w:rsidP="0098082B">
      <w:pPr>
        <w:ind w:right="90"/>
        <w:rPr>
          <w:rFonts w:ascii="Times New Roman" w:hAnsi="Times New Roman"/>
          <w:sz w:val="24"/>
        </w:rPr>
      </w:pPr>
      <w:r w:rsidRPr="00B40DB9">
        <w:rPr>
          <w:rFonts w:ascii="Times New Roman" w:hAnsi="Times New Roman"/>
          <w:b/>
          <w:sz w:val="24"/>
        </w:rPr>
        <w:t>Ag</w:t>
      </w:r>
      <w:r>
        <w:rPr>
          <w:rFonts w:ascii="Times New Roman" w:hAnsi="Times New Roman"/>
          <w:b/>
          <w:sz w:val="24"/>
        </w:rPr>
        <w:t>e</w:t>
      </w:r>
      <w:r w:rsidRPr="00B40DB9">
        <w:rPr>
          <w:rFonts w:ascii="Times New Roman" w:hAnsi="Times New Roman"/>
          <w:b/>
          <w:sz w:val="24"/>
        </w:rPr>
        <w:t>ing adjustment</w:t>
      </w:r>
      <w:r w:rsidRPr="00B40DB9">
        <w:rPr>
          <w:rFonts w:ascii="Times New Roman" w:hAnsi="Times New Roman"/>
          <w:sz w:val="24"/>
        </w:rPr>
        <w:t xml:space="preserve">: A </w:t>
      </w:r>
      <w:r>
        <w:rPr>
          <w:rFonts w:ascii="Times New Roman" w:hAnsi="Times New Roman"/>
          <w:sz w:val="24"/>
        </w:rPr>
        <w:t>l</w:t>
      </w:r>
      <w:r w:rsidR="00B26716">
        <w:rPr>
          <w:rFonts w:ascii="Times New Roman" w:hAnsi="Times New Roman"/>
          <w:sz w:val="24"/>
        </w:rPr>
        <w:t>iterature search revealed an ag</w:t>
      </w:r>
      <w:r>
        <w:rPr>
          <w:rFonts w:ascii="Times New Roman" w:hAnsi="Times New Roman"/>
          <w:sz w:val="24"/>
        </w:rPr>
        <w:t xml:space="preserve">ing heat rate decline of 3 to 5 percent. We selected a </w:t>
      </w:r>
      <w:r w:rsidRPr="00B40DB9">
        <w:rPr>
          <w:rFonts w:ascii="Times New Roman" w:hAnsi="Times New Roman"/>
          <w:sz w:val="24"/>
        </w:rPr>
        <w:t>uniform adju</w:t>
      </w:r>
      <w:r>
        <w:rPr>
          <w:rFonts w:ascii="Times New Roman" w:hAnsi="Times New Roman"/>
          <w:sz w:val="24"/>
        </w:rPr>
        <w:t>stment factor of 3.5 percent to be</w:t>
      </w:r>
      <w:r w:rsidRPr="00B40DB9">
        <w:rPr>
          <w:rFonts w:ascii="Times New Roman" w:hAnsi="Times New Roman"/>
          <w:sz w:val="24"/>
        </w:rPr>
        <w:t xml:space="preserve"> applied to the CCCT heat rates to account for performance degradation due to use of the CCCT. Performance degradation is comprised of reversible and non-reversible elements. Periodic maintenance can partially restore CCCT performance.</w:t>
      </w:r>
    </w:p>
    <w:p w:rsidR="0098082B" w:rsidRPr="00B40DB9" w:rsidRDefault="0098082B" w:rsidP="0098082B">
      <w:pPr>
        <w:ind w:right="90"/>
        <w:rPr>
          <w:rFonts w:ascii="Times New Roman" w:hAnsi="Times New Roman"/>
          <w:sz w:val="24"/>
        </w:rPr>
      </w:pPr>
      <w:r w:rsidRPr="00B40DB9">
        <w:rPr>
          <w:rFonts w:ascii="Times New Roman" w:hAnsi="Times New Roman"/>
          <w:b/>
          <w:sz w:val="24"/>
        </w:rPr>
        <w:t>Duct firing adjustment</w:t>
      </w:r>
      <w:r w:rsidRPr="00B40DB9">
        <w:rPr>
          <w:rFonts w:ascii="Times New Roman" w:hAnsi="Times New Roman"/>
          <w:sz w:val="24"/>
        </w:rPr>
        <w:t>: CCCTs often have supplemental and lower efficiency duct firing that can boost facility output for a short period. Commerce further adjusted the heat rate of each configuration to reflect 15 percent of additional</w:t>
      </w:r>
      <w:r>
        <w:rPr>
          <w:rFonts w:ascii="Times New Roman" w:hAnsi="Times New Roman"/>
          <w:sz w:val="24"/>
        </w:rPr>
        <w:t xml:space="preserve"> CCCT</w:t>
      </w:r>
      <w:r w:rsidRPr="00B40DB9">
        <w:rPr>
          <w:rFonts w:ascii="Times New Roman" w:hAnsi="Times New Roman"/>
          <w:sz w:val="24"/>
        </w:rPr>
        <w:t xml:space="preserve"> capacity from full duct firing</w:t>
      </w:r>
      <w:r>
        <w:rPr>
          <w:rFonts w:ascii="Times New Roman" w:hAnsi="Times New Roman"/>
          <w:sz w:val="24"/>
        </w:rPr>
        <w:t xml:space="preserve"> and utilized</w:t>
      </w:r>
      <w:r w:rsidRPr="00B40DB9">
        <w:rPr>
          <w:rFonts w:ascii="Times New Roman" w:hAnsi="Times New Roman"/>
          <w:sz w:val="24"/>
        </w:rPr>
        <w:t xml:space="preserve"> at 30 percent of operational hours, or 1,841 annual hours.</w:t>
      </w:r>
      <w:r w:rsidRPr="00B40DB9">
        <w:rPr>
          <w:rStyle w:val="FootnoteReference"/>
          <w:rFonts w:ascii="Times New Roman" w:hAnsi="Times New Roman"/>
          <w:sz w:val="24"/>
        </w:rPr>
        <w:footnoteReference w:id="1"/>
      </w:r>
      <w:r>
        <w:rPr>
          <w:rFonts w:ascii="Times New Roman" w:hAnsi="Times New Roman"/>
          <w:sz w:val="24"/>
        </w:rPr>
        <w:t xml:space="preserve"> The capacity factor of the duct firing increment was assumed to be 80 percent. The d</w:t>
      </w:r>
      <w:r w:rsidRPr="00B40DB9">
        <w:rPr>
          <w:rFonts w:ascii="Times New Roman" w:hAnsi="Times New Roman"/>
          <w:sz w:val="24"/>
        </w:rPr>
        <w:t>uct firing heat rate was assumed to be 9,200 and 9,550 Btu/kWh for large and small CCCTs respectively.</w:t>
      </w:r>
    </w:p>
    <w:p w:rsidR="0098082B" w:rsidRPr="00B40DB9" w:rsidRDefault="0098082B" w:rsidP="0098082B">
      <w:pPr>
        <w:ind w:right="90"/>
        <w:rPr>
          <w:rFonts w:ascii="Times New Roman" w:hAnsi="Times New Roman"/>
          <w:sz w:val="24"/>
        </w:rPr>
      </w:pPr>
      <w:r w:rsidRPr="00B40DB9">
        <w:rPr>
          <w:rFonts w:ascii="Times New Roman" w:hAnsi="Times New Roman"/>
          <w:b/>
          <w:sz w:val="24"/>
        </w:rPr>
        <w:t>Start/stop/low output adjustment</w:t>
      </w:r>
      <w:r w:rsidRPr="00B40DB9">
        <w:rPr>
          <w:rFonts w:ascii="Times New Roman" w:hAnsi="Times New Roman"/>
          <w:sz w:val="24"/>
        </w:rPr>
        <w:t>: Commerce worked with stakeholders and others to establish an adjustment factor of 7 percent to CCCT heat rates for typical start/stop cycling and low-output operation.</w:t>
      </w:r>
    </w:p>
    <w:p w:rsidR="0098082B" w:rsidRPr="00B40DB9" w:rsidRDefault="0098082B" w:rsidP="0098082B">
      <w:pPr>
        <w:ind w:right="90"/>
        <w:rPr>
          <w:rFonts w:ascii="Times New Roman" w:hAnsi="Times New Roman"/>
          <w:sz w:val="24"/>
        </w:rPr>
      </w:pPr>
      <w:r w:rsidRPr="00B40DB9">
        <w:rPr>
          <w:rFonts w:ascii="Times New Roman" w:hAnsi="Times New Roman"/>
          <w:b/>
          <w:sz w:val="24"/>
        </w:rPr>
        <w:t>Cooling technology adjustment</w:t>
      </w:r>
      <w:r w:rsidRPr="00B40DB9">
        <w:rPr>
          <w:rFonts w:ascii="Times New Roman" w:hAnsi="Times New Roman"/>
          <w:sz w:val="24"/>
        </w:rPr>
        <w:t xml:space="preserve">: Commerce worked with stakeholders to develop an adjustment factor of 1 percent for CCCTs that use air-cooling technology and inlet cooling. </w:t>
      </w:r>
    </w:p>
    <w:p w:rsidR="0098082B" w:rsidRPr="00B40DB9" w:rsidRDefault="0098082B" w:rsidP="0098082B">
      <w:pPr>
        <w:ind w:right="90"/>
        <w:rPr>
          <w:rFonts w:ascii="Times New Roman" w:hAnsi="Times New Roman"/>
          <w:sz w:val="24"/>
        </w:rPr>
      </w:pPr>
      <w:r>
        <w:rPr>
          <w:rFonts w:ascii="Times New Roman" w:hAnsi="Times New Roman"/>
          <w:b/>
          <w:sz w:val="24"/>
        </w:rPr>
        <w:t>Conversion</w:t>
      </w:r>
      <w:r w:rsidRPr="00B40DB9">
        <w:rPr>
          <w:rFonts w:ascii="Times New Roman" w:hAnsi="Times New Roman"/>
          <w:b/>
          <w:sz w:val="24"/>
        </w:rPr>
        <w:t xml:space="preserve"> to emission factors</w:t>
      </w:r>
      <w:r w:rsidRPr="00B40DB9">
        <w:rPr>
          <w:rFonts w:ascii="Times New Roman" w:hAnsi="Times New Roman"/>
          <w:sz w:val="24"/>
        </w:rPr>
        <w:t>: Determine final adjusted heat rate for all CCCT configurations and multiply by the appropriate natural gas emission factor to arrive at an emission rate of pounds CO</w:t>
      </w:r>
      <w:r w:rsidRPr="00B40DB9">
        <w:rPr>
          <w:rFonts w:ascii="Times New Roman" w:hAnsi="Times New Roman"/>
          <w:sz w:val="24"/>
          <w:vertAlign w:val="subscript"/>
        </w:rPr>
        <w:t>2</w:t>
      </w:r>
      <w:r w:rsidRPr="00B40DB9">
        <w:rPr>
          <w:rFonts w:ascii="Times New Roman" w:hAnsi="Times New Roman"/>
          <w:sz w:val="24"/>
        </w:rPr>
        <w:t xml:space="preserve"> per MWh for all configurations. The emission factor used in the survey is the value specified by the Washington Department of Ecology: 117.6 lb</w:t>
      </w:r>
      <w:proofErr w:type="gramStart"/>
      <w:r w:rsidRPr="00B40DB9">
        <w:rPr>
          <w:rFonts w:ascii="Times New Roman" w:hAnsi="Times New Roman"/>
          <w:sz w:val="24"/>
        </w:rPr>
        <w:t>./</w:t>
      </w:r>
      <w:proofErr w:type="gramEnd"/>
      <w:r w:rsidRPr="00B40DB9">
        <w:rPr>
          <w:rFonts w:ascii="Times New Roman" w:hAnsi="Times New Roman"/>
          <w:sz w:val="24"/>
        </w:rPr>
        <w:t>MMBtu.</w:t>
      </w:r>
    </w:p>
    <w:p w:rsidR="0098082B" w:rsidRPr="00B40DB9" w:rsidRDefault="0098082B" w:rsidP="0098082B">
      <w:pPr>
        <w:ind w:right="90"/>
        <w:rPr>
          <w:rFonts w:ascii="Times New Roman" w:hAnsi="Times New Roman"/>
          <w:sz w:val="24"/>
        </w:rPr>
      </w:pPr>
      <w:r>
        <w:rPr>
          <w:rFonts w:ascii="Times New Roman" w:hAnsi="Times New Roman"/>
          <w:b/>
          <w:sz w:val="24"/>
        </w:rPr>
        <w:t>Inclusion of</w:t>
      </w:r>
      <w:r w:rsidRPr="00B40DB9">
        <w:rPr>
          <w:rFonts w:ascii="Times New Roman" w:hAnsi="Times New Roman"/>
          <w:b/>
          <w:sz w:val="24"/>
        </w:rPr>
        <w:t xml:space="preserve"> other GHG gases</w:t>
      </w:r>
      <w:r w:rsidRPr="00B40DB9">
        <w:rPr>
          <w:rFonts w:ascii="Times New Roman" w:hAnsi="Times New Roman"/>
          <w:sz w:val="24"/>
        </w:rPr>
        <w:t>: Add standard values (lb</w:t>
      </w:r>
      <w:proofErr w:type="gramStart"/>
      <w:r w:rsidRPr="00B40DB9">
        <w:rPr>
          <w:rFonts w:ascii="Times New Roman" w:hAnsi="Times New Roman"/>
          <w:sz w:val="24"/>
        </w:rPr>
        <w:t>./</w:t>
      </w:r>
      <w:proofErr w:type="gramEnd"/>
      <w:r w:rsidRPr="00B40DB9">
        <w:rPr>
          <w:rFonts w:ascii="Times New Roman" w:hAnsi="Times New Roman"/>
          <w:sz w:val="24"/>
        </w:rPr>
        <w:t>MWh) for methane and</w:t>
      </w:r>
      <w:r>
        <w:rPr>
          <w:rFonts w:ascii="Times New Roman" w:hAnsi="Times New Roman"/>
          <w:sz w:val="24"/>
        </w:rPr>
        <w:t xml:space="preserve"> nitrogen oxides emissions determined from</w:t>
      </w:r>
      <w:r w:rsidRPr="00B40DB9">
        <w:rPr>
          <w:rFonts w:ascii="Times New Roman" w:hAnsi="Times New Roman"/>
          <w:sz w:val="24"/>
        </w:rPr>
        <w:t xml:space="preserve"> Department of Ecology reports.</w:t>
      </w:r>
    </w:p>
    <w:p w:rsidR="0098082B" w:rsidRPr="008D7AB6" w:rsidRDefault="0098082B" w:rsidP="0098082B">
      <w:pPr>
        <w:ind w:right="90"/>
        <w:rPr>
          <w:rFonts w:ascii="Times New Roman" w:hAnsi="Times New Roman"/>
          <w:sz w:val="24"/>
        </w:rPr>
      </w:pPr>
      <w:r w:rsidRPr="00B40DB9">
        <w:rPr>
          <w:rFonts w:ascii="Times New Roman" w:hAnsi="Times New Roman"/>
          <w:b/>
          <w:sz w:val="24"/>
        </w:rPr>
        <w:t>Average emission factor</w:t>
      </w:r>
      <w:r w:rsidRPr="00B40DB9">
        <w:rPr>
          <w:rFonts w:ascii="Times New Roman" w:hAnsi="Times New Roman"/>
          <w:sz w:val="24"/>
        </w:rPr>
        <w:t>: Average across all CCCT in the survey to arrive at the average GHG emission factor (this will be the state’s updated emission performance standard). This is a simple average and not weighted for capacity or anticipated frequency of purchase of the new CCCTs.</w:t>
      </w:r>
    </w:p>
    <w:p w:rsidR="00F67568" w:rsidRDefault="00560AE7"/>
    <w:sectPr w:rsidR="00F675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82B" w:rsidRDefault="0098082B" w:rsidP="0098082B">
      <w:pPr>
        <w:spacing w:after="0" w:line="240" w:lineRule="auto"/>
      </w:pPr>
      <w:r>
        <w:separator/>
      </w:r>
    </w:p>
  </w:endnote>
  <w:endnote w:type="continuationSeparator" w:id="0">
    <w:p w:rsidR="0098082B" w:rsidRDefault="0098082B" w:rsidP="0098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82B" w:rsidRDefault="0098082B" w:rsidP="0098082B">
      <w:pPr>
        <w:spacing w:after="0" w:line="240" w:lineRule="auto"/>
      </w:pPr>
      <w:r>
        <w:separator/>
      </w:r>
    </w:p>
  </w:footnote>
  <w:footnote w:type="continuationSeparator" w:id="0">
    <w:p w:rsidR="0098082B" w:rsidRDefault="0098082B" w:rsidP="0098082B">
      <w:pPr>
        <w:spacing w:after="0" w:line="240" w:lineRule="auto"/>
      </w:pPr>
      <w:r>
        <w:continuationSeparator/>
      </w:r>
    </w:p>
  </w:footnote>
  <w:footnote w:id="1">
    <w:p w:rsidR="0098082B" w:rsidRPr="00B26716" w:rsidRDefault="0098082B" w:rsidP="0098082B">
      <w:pPr>
        <w:pStyle w:val="FootnoteText"/>
        <w:tabs>
          <w:tab w:val="clear" w:pos="216"/>
          <w:tab w:val="left" w:pos="0"/>
        </w:tabs>
        <w:ind w:left="90" w:hanging="90"/>
        <w:rPr>
          <w:rFonts w:ascii="Times New Roman" w:hAnsi="Times New Roman"/>
          <w:szCs w:val="18"/>
        </w:rPr>
      </w:pPr>
      <w:r w:rsidRPr="00B26716">
        <w:rPr>
          <w:rStyle w:val="FootnoteReference"/>
          <w:rFonts w:ascii="Times New Roman" w:hAnsi="Times New Roman"/>
          <w:szCs w:val="18"/>
        </w:rPr>
        <w:footnoteRef/>
      </w:r>
      <w:r w:rsidRPr="00B26716">
        <w:rPr>
          <w:rFonts w:ascii="Times New Roman" w:hAnsi="Times New Roman"/>
          <w:szCs w:val="18"/>
        </w:rPr>
        <w:t xml:space="preserve"> A survey of regional CCCTs with duct firing in 2013 indicated the average duct firing capacity value to be 14.3 percent.  Another smaller survey revealed that CCCTs used their duct firing about 33 percent of the time.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2B"/>
    <w:rsid w:val="00560AE7"/>
    <w:rsid w:val="00624664"/>
    <w:rsid w:val="00756B30"/>
    <w:rsid w:val="0079668D"/>
    <w:rsid w:val="0098082B"/>
    <w:rsid w:val="00B2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EF6C9-C5F0-483D-B015-E49540C9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8082B"/>
    <w:pPr>
      <w:tabs>
        <w:tab w:val="left" w:pos="216"/>
      </w:tabs>
      <w:spacing w:before="40" w:after="0" w:line="240" w:lineRule="auto"/>
      <w:ind w:left="216" w:hanging="216"/>
    </w:pPr>
    <w:rPr>
      <w:rFonts w:ascii="Arial" w:eastAsia="Times New Roman" w:hAnsi="Arial" w:cs="Times New Roman"/>
      <w:sz w:val="18"/>
      <w:szCs w:val="20"/>
    </w:rPr>
  </w:style>
  <w:style w:type="character" w:customStyle="1" w:styleId="FootnoteTextChar">
    <w:name w:val="Footnote Text Char"/>
    <w:basedOn w:val="DefaultParagraphFont"/>
    <w:link w:val="FootnoteText"/>
    <w:uiPriority w:val="99"/>
    <w:semiHidden/>
    <w:rsid w:val="0098082B"/>
    <w:rPr>
      <w:rFonts w:ascii="Arial" w:eastAsia="Times New Roman" w:hAnsi="Arial" w:cs="Times New Roman"/>
      <w:sz w:val="18"/>
      <w:szCs w:val="20"/>
    </w:rPr>
  </w:style>
  <w:style w:type="character" w:styleId="FootnoteReference">
    <w:name w:val="footnote reference"/>
    <w:basedOn w:val="DefaultParagraphFont"/>
    <w:uiPriority w:val="99"/>
    <w:semiHidden/>
    <w:rsid w:val="00980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NOTHSTEIN</dc:creator>
  <cp:keywords/>
  <dc:description/>
  <cp:lastModifiedBy>Nothstein, Greg (COM)</cp:lastModifiedBy>
  <cp:revision>2</cp:revision>
  <dcterms:created xsi:type="dcterms:W3CDTF">2018-08-13T21:54:00Z</dcterms:created>
  <dcterms:modified xsi:type="dcterms:W3CDTF">2018-08-13T21:54:00Z</dcterms:modified>
</cp:coreProperties>
</file>