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CE6" w:rsidRDefault="008D7AB6" w:rsidP="00DA6CE6">
      <w:pPr>
        <w:rPr>
          <w:b/>
        </w:rPr>
      </w:pPr>
      <w:bookmarkStart w:id="0" w:name="_GoBack"/>
      <w:bookmarkEnd w:id="0"/>
      <w:r>
        <w:rPr>
          <w:rFonts w:ascii="Times New Roman" w:hAnsi="Times New Roman" w:cs="Times New Roman"/>
          <w:b/>
          <w:sz w:val="26"/>
          <w:szCs w:val="26"/>
        </w:rPr>
        <w:t xml:space="preserve">Appendix A: </w:t>
      </w:r>
      <w:r w:rsidRPr="008D7AB6">
        <w:rPr>
          <w:rFonts w:ascii="Times New Roman" w:hAnsi="Times New Roman" w:cs="Times New Roman"/>
          <w:b/>
          <w:sz w:val="26"/>
          <w:szCs w:val="26"/>
        </w:rPr>
        <w:t>Definitions</w:t>
      </w:r>
      <w:r w:rsidR="007F5A12">
        <w:rPr>
          <w:rFonts w:ascii="Times New Roman" w:hAnsi="Times New Roman" w:cs="Times New Roman"/>
          <w:b/>
          <w:sz w:val="26"/>
          <w:szCs w:val="26"/>
        </w:rPr>
        <w:t xml:space="preserve"> </w:t>
      </w:r>
      <w:r w:rsidR="00DA6CE6">
        <w:rPr>
          <w:rFonts w:ascii="Times New Roman" w:hAnsi="Times New Roman" w:cs="Times New Roman"/>
          <w:b/>
          <w:sz w:val="26"/>
          <w:szCs w:val="26"/>
        </w:rPr>
        <w:t xml:space="preserve">and parameters </w:t>
      </w:r>
      <w:r w:rsidR="007F5A12">
        <w:rPr>
          <w:rFonts w:ascii="Times New Roman" w:hAnsi="Times New Roman" w:cs="Times New Roman"/>
          <w:b/>
          <w:sz w:val="26"/>
          <w:szCs w:val="26"/>
        </w:rPr>
        <w:t>used in EPS Survey Document and EPS Calculator</w:t>
      </w:r>
    </w:p>
    <w:p w:rsidR="0020622B" w:rsidRPr="008D7AB6" w:rsidRDefault="0020622B" w:rsidP="0020622B">
      <w:pPr>
        <w:ind w:right="90"/>
        <w:rPr>
          <w:rFonts w:ascii="Times New Roman" w:hAnsi="Times New Roman"/>
          <w:b/>
          <w:color w:val="FF0000"/>
          <w:sz w:val="26"/>
          <w:szCs w:val="26"/>
          <w:u w:val="single"/>
        </w:rPr>
      </w:pPr>
      <w:r>
        <w:rPr>
          <w:rFonts w:ascii="Times New Roman" w:hAnsi="Times New Roman"/>
          <w:b/>
          <w:sz w:val="26"/>
          <w:szCs w:val="26"/>
          <w:u w:val="single"/>
        </w:rPr>
        <w:t>Key power plant</w:t>
      </w:r>
      <w:r w:rsidRPr="008D7AB6">
        <w:rPr>
          <w:rFonts w:ascii="Times New Roman" w:hAnsi="Times New Roman"/>
          <w:b/>
          <w:sz w:val="26"/>
          <w:szCs w:val="26"/>
          <w:u w:val="single"/>
        </w:rPr>
        <w:t xml:space="preserve"> criteria </w:t>
      </w:r>
      <w:r>
        <w:rPr>
          <w:rFonts w:ascii="Times New Roman" w:hAnsi="Times New Roman"/>
          <w:b/>
          <w:sz w:val="26"/>
          <w:szCs w:val="26"/>
          <w:u w:val="single"/>
        </w:rPr>
        <w:t xml:space="preserve">reflected </w:t>
      </w:r>
      <w:r w:rsidRPr="008D7AB6">
        <w:rPr>
          <w:rFonts w:ascii="Times New Roman" w:hAnsi="Times New Roman"/>
          <w:b/>
          <w:sz w:val="26"/>
          <w:szCs w:val="26"/>
          <w:u w:val="single"/>
        </w:rPr>
        <w:t>in the EPS survey</w:t>
      </w:r>
    </w:p>
    <w:p w:rsidR="0020622B" w:rsidRDefault="0020622B" w:rsidP="0020622B">
      <w:pPr>
        <w:ind w:right="90"/>
        <w:rPr>
          <w:rFonts w:ascii="Times New Roman" w:hAnsi="Times New Roman"/>
          <w:sz w:val="24"/>
        </w:rPr>
      </w:pPr>
      <w:r w:rsidRPr="00B40DB9">
        <w:rPr>
          <w:rFonts w:ascii="Times New Roman" w:hAnsi="Times New Roman"/>
          <w:b/>
          <w:sz w:val="24"/>
        </w:rPr>
        <w:t>Turbine manufacturers</w:t>
      </w:r>
      <w:r w:rsidRPr="00B40DB9">
        <w:rPr>
          <w:rFonts w:ascii="Times New Roman" w:hAnsi="Times New Roman"/>
          <w:sz w:val="24"/>
        </w:rPr>
        <w:t xml:space="preserve">: Commerce reviewed the </w:t>
      </w:r>
      <w:r>
        <w:rPr>
          <w:rFonts w:ascii="Times New Roman" w:hAnsi="Times New Roman"/>
          <w:sz w:val="24"/>
        </w:rPr>
        <w:t xml:space="preserve">commercially available and purchased </w:t>
      </w:r>
      <w:r w:rsidRPr="00B40DB9">
        <w:rPr>
          <w:rFonts w:ascii="Times New Roman" w:hAnsi="Times New Roman"/>
          <w:sz w:val="24"/>
        </w:rPr>
        <w:t>CCCTs from the three CCCT manufacturers that are active in the United States: General Electric, Siemens, and Mitsubishi.</w:t>
      </w:r>
    </w:p>
    <w:p w:rsidR="0020622B" w:rsidRDefault="0020622B" w:rsidP="0020622B">
      <w:pPr>
        <w:ind w:right="90"/>
        <w:rPr>
          <w:rFonts w:ascii="Times New Roman" w:hAnsi="Times New Roman"/>
          <w:sz w:val="24"/>
        </w:rPr>
      </w:pPr>
      <w:r w:rsidRPr="00C80F96">
        <w:rPr>
          <w:rFonts w:ascii="Times New Roman" w:hAnsi="Times New Roman"/>
          <w:b/>
          <w:sz w:val="24"/>
        </w:rPr>
        <w:t>CCCT model design</w:t>
      </w:r>
      <w:r>
        <w:rPr>
          <w:rFonts w:ascii="Times New Roman" w:hAnsi="Times New Roman"/>
          <w:sz w:val="24"/>
        </w:rPr>
        <w:t>: Manufacturers build a range of CCCTs. Generally the machines fall into three groups: 1. Small aero derivative, 2. Mid-sized mid to advanced technology, and 3. Larger advanced technology machines. Commerce tried to identify the CCCT</w:t>
      </w:r>
      <w:r w:rsidR="00BD657B">
        <w:rPr>
          <w:rFonts w:ascii="Times New Roman" w:hAnsi="Times New Roman"/>
          <w:sz w:val="24"/>
        </w:rPr>
        <w:t>s</w:t>
      </w:r>
      <w:r>
        <w:rPr>
          <w:rFonts w:ascii="Times New Roman" w:hAnsi="Times New Roman"/>
          <w:sz w:val="24"/>
        </w:rPr>
        <w:t xml:space="preserve"> as precisely as possible based on the national survey results. </w:t>
      </w:r>
    </w:p>
    <w:p w:rsidR="0020622B" w:rsidRPr="00B40DB9" w:rsidRDefault="0020622B" w:rsidP="0020622B">
      <w:pPr>
        <w:ind w:right="90"/>
        <w:rPr>
          <w:rFonts w:ascii="Times New Roman" w:hAnsi="Times New Roman"/>
          <w:sz w:val="24"/>
        </w:rPr>
      </w:pPr>
      <w:r w:rsidRPr="00B40DB9">
        <w:rPr>
          <w:rFonts w:ascii="Times New Roman" w:hAnsi="Times New Roman"/>
          <w:b/>
          <w:sz w:val="24"/>
        </w:rPr>
        <w:t>Plant architecture</w:t>
      </w:r>
      <w:r w:rsidRPr="00B40DB9">
        <w:rPr>
          <w:rFonts w:ascii="Times New Roman" w:hAnsi="Times New Roman"/>
          <w:sz w:val="24"/>
        </w:rPr>
        <w:t>:  For the 2017 survey</w:t>
      </w:r>
      <w:r w:rsidR="00BD657B">
        <w:rPr>
          <w:rFonts w:ascii="Times New Roman" w:hAnsi="Times New Roman"/>
          <w:sz w:val="24"/>
        </w:rPr>
        <w:t>,</w:t>
      </w:r>
      <w:r w:rsidRPr="00B40DB9">
        <w:rPr>
          <w:rFonts w:ascii="Times New Roman" w:hAnsi="Times New Roman"/>
          <w:sz w:val="24"/>
        </w:rPr>
        <w:t xml:space="preserve"> we focused primarily on CCCTs of “1x1” architecture (one combustion turbine followed by one steam turbine) as this is the primary format used in the Northwest. Several stakeholders commented during the 2012 EPS cycle that larger advanced H and J class “2 x 1” CCCTs, which exceed 1000</w:t>
      </w:r>
      <w:r w:rsidR="00D85573">
        <w:rPr>
          <w:rFonts w:ascii="Times New Roman" w:hAnsi="Times New Roman"/>
          <w:sz w:val="24"/>
        </w:rPr>
        <w:t xml:space="preserve"> </w:t>
      </w:r>
      <w:r w:rsidRPr="00B40DB9">
        <w:rPr>
          <w:rFonts w:ascii="Times New Roman" w:hAnsi="Times New Roman"/>
          <w:sz w:val="24"/>
        </w:rPr>
        <w:t>MW of capacity, are not likely to be built in the Northwest.</w:t>
      </w:r>
      <w:r>
        <w:rPr>
          <w:rFonts w:ascii="Times New Roman" w:hAnsi="Times New Roman"/>
          <w:sz w:val="24"/>
        </w:rPr>
        <w:t xml:space="preserve"> We subsequently removed several larger format CCCTs from the 2012 EPS calculator</w:t>
      </w:r>
      <w:r w:rsidR="00D85573">
        <w:rPr>
          <w:rFonts w:ascii="Times New Roman" w:hAnsi="Times New Roman"/>
          <w:sz w:val="24"/>
        </w:rPr>
        <w:t xml:space="preserve">. </w:t>
      </w:r>
    </w:p>
    <w:p w:rsidR="0020622B" w:rsidRDefault="0020622B" w:rsidP="0020622B">
      <w:pPr>
        <w:ind w:right="86"/>
        <w:rPr>
          <w:rFonts w:ascii="Times New Roman" w:hAnsi="Times New Roman"/>
          <w:sz w:val="24"/>
        </w:rPr>
      </w:pPr>
      <w:r w:rsidRPr="00B40DB9">
        <w:rPr>
          <w:rFonts w:ascii="Times New Roman" w:hAnsi="Times New Roman"/>
          <w:b/>
          <w:sz w:val="24"/>
        </w:rPr>
        <w:t>Purchased and available</w:t>
      </w:r>
      <w:r>
        <w:rPr>
          <w:rFonts w:ascii="Times New Roman" w:hAnsi="Times New Roman"/>
          <w:sz w:val="24"/>
        </w:rPr>
        <w:t>: Commerce did not include in the survey</w:t>
      </w:r>
      <w:r w:rsidRPr="00B40DB9">
        <w:rPr>
          <w:rFonts w:ascii="Times New Roman" w:hAnsi="Times New Roman"/>
          <w:sz w:val="24"/>
        </w:rPr>
        <w:t xml:space="preserve"> CCCTs that,</w:t>
      </w:r>
      <w:r>
        <w:rPr>
          <w:rFonts w:ascii="Times New Roman" w:hAnsi="Times New Roman"/>
          <w:sz w:val="24"/>
        </w:rPr>
        <w:t xml:space="preserve"> while listed as available</w:t>
      </w:r>
      <w:r w:rsidR="00D85573">
        <w:rPr>
          <w:rFonts w:ascii="Times New Roman" w:hAnsi="Times New Roman"/>
          <w:sz w:val="24"/>
        </w:rPr>
        <w:t xml:space="preserve"> on websites</w:t>
      </w:r>
      <w:r>
        <w:rPr>
          <w:rFonts w:ascii="Times New Roman" w:hAnsi="Times New Roman"/>
          <w:sz w:val="24"/>
        </w:rPr>
        <w:t>, had</w:t>
      </w:r>
      <w:r w:rsidRPr="00B40DB9">
        <w:rPr>
          <w:rFonts w:ascii="Times New Roman" w:hAnsi="Times New Roman"/>
          <w:sz w:val="24"/>
        </w:rPr>
        <w:t xml:space="preserve"> not been purchased </w:t>
      </w:r>
      <w:r>
        <w:rPr>
          <w:rFonts w:ascii="Times New Roman" w:hAnsi="Times New Roman"/>
          <w:sz w:val="24"/>
        </w:rPr>
        <w:t xml:space="preserve">and installed </w:t>
      </w:r>
      <w:r w:rsidRPr="00B40DB9">
        <w:rPr>
          <w:rFonts w:ascii="Times New Roman" w:hAnsi="Times New Roman"/>
          <w:sz w:val="24"/>
        </w:rPr>
        <w:t>by utilities or independent power produ</w:t>
      </w:r>
      <w:r>
        <w:rPr>
          <w:rFonts w:ascii="Times New Roman" w:hAnsi="Times New Roman"/>
          <w:sz w:val="24"/>
        </w:rPr>
        <w:t xml:space="preserve">cers over the past five years and therefore cannot be considered “new, </w:t>
      </w:r>
      <w:r w:rsidRPr="00B40DB9">
        <w:rPr>
          <w:rFonts w:ascii="Times New Roman" w:hAnsi="Times New Roman"/>
          <w:sz w:val="24"/>
        </w:rPr>
        <w:t>commercially available and purchased”.</w:t>
      </w:r>
      <w:r w:rsidRPr="00B40DB9">
        <w:rPr>
          <w:rStyle w:val="FootnoteReference"/>
          <w:rFonts w:ascii="Times New Roman" w:hAnsi="Times New Roman"/>
          <w:sz w:val="24"/>
        </w:rPr>
        <w:footnoteReference w:id="1"/>
      </w:r>
      <w:r w:rsidRPr="00B40DB9">
        <w:rPr>
          <w:rFonts w:ascii="Times New Roman" w:hAnsi="Times New Roman"/>
          <w:sz w:val="24"/>
        </w:rPr>
        <w:t xml:space="preserve"> </w:t>
      </w:r>
    </w:p>
    <w:p w:rsidR="0020622B" w:rsidRPr="0020622B" w:rsidRDefault="0020622B" w:rsidP="0020622B">
      <w:pPr>
        <w:ind w:right="90"/>
        <w:rPr>
          <w:rFonts w:ascii="Times New Roman" w:hAnsi="Times New Roman"/>
          <w:sz w:val="24"/>
        </w:rPr>
      </w:pPr>
      <w:r w:rsidRPr="0020622B">
        <w:rPr>
          <w:rFonts w:ascii="Times New Roman" w:hAnsi="Times New Roman"/>
          <w:b/>
          <w:sz w:val="26"/>
          <w:szCs w:val="26"/>
          <w:u w:val="single"/>
        </w:rPr>
        <w:t>Parameters included in the EPS calculator</w:t>
      </w:r>
    </w:p>
    <w:p w:rsidR="008D7AB6" w:rsidRPr="00DA6CE6" w:rsidRDefault="008D7AB6" w:rsidP="00DA6CE6">
      <w:pPr>
        <w:rPr>
          <w:rFonts w:ascii="Times New Roman" w:hAnsi="Times New Roman" w:cs="Times New Roman"/>
          <w:b/>
          <w:sz w:val="26"/>
          <w:szCs w:val="26"/>
        </w:rPr>
      </w:pPr>
      <w:r w:rsidRPr="008E3092">
        <w:rPr>
          <w:rFonts w:ascii="Times New Roman" w:hAnsi="Times New Roman"/>
          <w:b/>
          <w:sz w:val="24"/>
        </w:rPr>
        <w:t>Heat rate</w:t>
      </w:r>
      <w:r w:rsidRPr="008E3092">
        <w:rPr>
          <w:rFonts w:ascii="Times New Roman" w:hAnsi="Times New Roman"/>
          <w:sz w:val="24"/>
        </w:rPr>
        <w:t xml:space="preserve">: A key performance metric for CCCTs, or any thermal power plant, is its heat rate. Heat rate is the amount of chemical energy input, expressed in British thermal units (Btu) needed to produce a kilowatt-hour (kWh) of electricity. GHG emission rates are calculated from heat rates, so this is the first piece of information needed for updating the state’s EPS. Typical heat rates for new CCCTs range from 6,300 to 7,300 Btu/kWh. A lower number represents a more efficient power plant. </w:t>
      </w:r>
    </w:p>
    <w:p w:rsidR="008D7AB6" w:rsidRPr="008D7AB6" w:rsidRDefault="008D7AB6" w:rsidP="008D7AB6">
      <w:pPr>
        <w:ind w:right="90"/>
        <w:rPr>
          <w:rFonts w:ascii="Times New Roman" w:hAnsi="Times New Roman"/>
          <w:sz w:val="24"/>
        </w:rPr>
      </w:pPr>
      <w:r w:rsidRPr="008E3092">
        <w:rPr>
          <w:rFonts w:ascii="Times New Roman" w:hAnsi="Times New Roman"/>
          <w:b/>
          <w:sz w:val="24"/>
        </w:rPr>
        <w:t>Power plant efficiency</w:t>
      </w:r>
      <w:r w:rsidRPr="008E3092">
        <w:rPr>
          <w:rFonts w:ascii="Times New Roman" w:hAnsi="Times New Roman"/>
          <w:sz w:val="24"/>
        </w:rPr>
        <w:t>: Another common performance metric is CCCT efficiency, and can be calculated from the heat rate. This is a measure of the percentage of the chemical energy in the fuel that is converted to electr</w:t>
      </w:r>
      <w:r>
        <w:rPr>
          <w:rFonts w:ascii="Times New Roman" w:hAnsi="Times New Roman"/>
          <w:sz w:val="24"/>
        </w:rPr>
        <w:t>icity. It is calculated as 3,412</w:t>
      </w:r>
      <w:r w:rsidRPr="008E3092">
        <w:rPr>
          <w:rFonts w:ascii="Times New Roman" w:hAnsi="Times New Roman"/>
          <w:sz w:val="24"/>
        </w:rPr>
        <w:t xml:space="preserve"> Btu, the amount of energy in one kWh, divided by the CCCT heat rate. Typical optimal efficiencies for new CCCTs range from 45 to 55 percent. A higher number represents a more efficient power plant.</w:t>
      </w:r>
    </w:p>
    <w:p w:rsidR="008D7AB6" w:rsidRDefault="008D7AB6" w:rsidP="008D7AB6">
      <w:pPr>
        <w:ind w:right="90"/>
        <w:rPr>
          <w:rFonts w:ascii="Times New Roman" w:hAnsi="Times New Roman"/>
          <w:sz w:val="24"/>
        </w:rPr>
      </w:pPr>
      <w:r w:rsidRPr="008E3092">
        <w:rPr>
          <w:rFonts w:ascii="Times New Roman" w:hAnsi="Times New Roman"/>
          <w:b/>
          <w:sz w:val="24"/>
        </w:rPr>
        <w:t>New and clean performance</w:t>
      </w:r>
      <w:r w:rsidRPr="008E3092">
        <w:rPr>
          <w:rFonts w:ascii="Times New Roman" w:hAnsi="Times New Roman"/>
          <w:sz w:val="24"/>
        </w:rPr>
        <w:t xml:space="preserve">: New and clean performance </w:t>
      </w:r>
      <w:r w:rsidR="00903A8C">
        <w:rPr>
          <w:rFonts w:ascii="Times New Roman" w:hAnsi="Times New Roman"/>
          <w:sz w:val="24"/>
        </w:rPr>
        <w:t xml:space="preserve">parameters are what GTW reports and </w:t>
      </w:r>
      <w:r w:rsidRPr="008E3092">
        <w:rPr>
          <w:rFonts w:ascii="Times New Roman" w:hAnsi="Times New Roman"/>
          <w:sz w:val="24"/>
        </w:rPr>
        <w:t xml:space="preserve">represents the performance (heat rate or efficiency) of a power plant when it is new and </w:t>
      </w:r>
      <w:r w:rsidRPr="008E3092">
        <w:rPr>
          <w:rFonts w:ascii="Times New Roman" w:hAnsi="Times New Roman"/>
          <w:sz w:val="24"/>
        </w:rPr>
        <w:lastRenderedPageBreak/>
        <w:t>generally running at optimal conditions (unless otherwise specified). New and clean performance values may be expressed on a net basis, where onsite power losses are taken into account.</w:t>
      </w:r>
    </w:p>
    <w:p w:rsidR="008D7AB6" w:rsidRDefault="008D7AB6" w:rsidP="008D7AB6">
      <w:pPr>
        <w:spacing w:before="120" w:after="240"/>
        <w:ind w:right="90"/>
        <w:rPr>
          <w:rFonts w:ascii="Times New Roman" w:hAnsi="Times New Roman"/>
          <w:b/>
          <w:sz w:val="24"/>
        </w:rPr>
      </w:pPr>
      <w:r>
        <w:rPr>
          <w:rFonts w:ascii="Times New Roman" w:hAnsi="Times New Roman"/>
          <w:b/>
          <w:sz w:val="24"/>
        </w:rPr>
        <w:t>Lower Heating Value and System loss (gross vs. net output)</w:t>
      </w:r>
      <w:r>
        <w:rPr>
          <w:rFonts w:ascii="Times New Roman" w:hAnsi="Times New Roman"/>
          <w:sz w:val="24"/>
        </w:rPr>
        <w:t>: CCCT performance is typically presented in terms of lower heating value</w:t>
      </w:r>
      <w:r w:rsidR="007F5A12">
        <w:rPr>
          <w:rFonts w:ascii="Times New Roman" w:hAnsi="Times New Roman"/>
          <w:sz w:val="24"/>
        </w:rPr>
        <w:t xml:space="preserve"> (LHV)</w:t>
      </w:r>
      <w:r>
        <w:rPr>
          <w:rFonts w:ascii="Times New Roman" w:hAnsi="Times New Roman"/>
          <w:sz w:val="24"/>
        </w:rPr>
        <w:t xml:space="preserve"> of a fuel and on a gross output basis. We convert </w:t>
      </w:r>
      <w:r w:rsidR="00BD657B">
        <w:rPr>
          <w:rFonts w:ascii="Times New Roman" w:hAnsi="Times New Roman"/>
          <w:sz w:val="24"/>
        </w:rPr>
        <w:t xml:space="preserve">it </w:t>
      </w:r>
      <w:r>
        <w:rPr>
          <w:rFonts w:ascii="Times New Roman" w:hAnsi="Times New Roman"/>
          <w:sz w:val="24"/>
        </w:rPr>
        <w:t xml:space="preserve">to the more </w:t>
      </w:r>
      <w:r w:rsidR="00903A8C">
        <w:rPr>
          <w:rFonts w:ascii="Times New Roman" w:hAnsi="Times New Roman"/>
          <w:sz w:val="24"/>
        </w:rPr>
        <w:t>widely used</w:t>
      </w:r>
      <w:r>
        <w:rPr>
          <w:rFonts w:ascii="Times New Roman" w:hAnsi="Times New Roman"/>
          <w:sz w:val="24"/>
        </w:rPr>
        <w:t xml:space="preserve"> higher heating value</w:t>
      </w:r>
      <w:r w:rsidR="007F5A12">
        <w:rPr>
          <w:rFonts w:ascii="Times New Roman" w:hAnsi="Times New Roman"/>
          <w:sz w:val="24"/>
        </w:rPr>
        <w:t xml:space="preserve"> (HHV)</w:t>
      </w:r>
      <w:r>
        <w:rPr>
          <w:rFonts w:ascii="Times New Roman" w:hAnsi="Times New Roman"/>
          <w:sz w:val="24"/>
        </w:rPr>
        <w:t xml:space="preserve"> of natural gas. On-site parasitic losses to run equipment mean the net power available to the power grid is slightly lower than the gross value.</w:t>
      </w:r>
    </w:p>
    <w:p w:rsidR="008D7AB6" w:rsidRPr="008E3092" w:rsidRDefault="008D7AB6" w:rsidP="008D7AB6">
      <w:pPr>
        <w:spacing w:before="120" w:after="240"/>
        <w:ind w:right="90"/>
        <w:rPr>
          <w:rFonts w:ascii="Times New Roman" w:hAnsi="Times New Roman"/>
          <w:sz w:val="24"/>
        </w:rPr>
      </w:pPr>
      <w:r w:rsidRPr="008E3092">
        <w:rPr>
          <w:rFonts w:ascii="Times New Roman" w:hAnsi="Times New Roman"/>
          <w:b/>
          <w:sz w:val="24"/>
        </w:rPr>
        <w:t>Operational performance</w:t>
      </w:r>
      <w:r w:rsidRPr="008E3092">
        <w:rPr>
          <w:rFonts w:ascii="Times New Roman" w:hAnsi="Times New Roman"/>
          <w:sz w:val="24"/>
        </w:rPr>
        <w:t xml:space="preserve">: Operational performance (heat rate or efficiency) is what Commerce is focusing on for the EPS survey and EPS update. It represents real world CCCT performance and takes into account many factors that essentially increase the average heat rate (decrease the efficiency) and GHG emission rate of the CCCT. These factors are referred to in this document </w:t>
      </w:r>
      <w:r>
        <w:rPr>
          <w:rFonts w:ascii="Times New Roman" w:hAnsi="Times New Roman"/>
          <w:sz w:val="24"/>
        </w:rPr>
        <w:t>as de-rating factors. Two key adjustment factors</w:t>
      </w:r>
      <w:r w:rsidRPr="008E3092">
        <w:rPr>
          <w:rFonts w:ascii="Times New Roman" w:hAnsi="Times New Roman"/>
          <w:sz w:val="24"/>
        </w:rPr>
        <w:t xml:space="preserve"> that deserve special </w:t>
      </w:r>
      <w:r>
        <w:rPr>
          <w:rFonts w:ascii="Times New Roman" w:hAnsi="Times New Roman"/>
          <w:sz w:val="24"/>
        </w:rPr>
        <w:t xml:space="preserve">mention </w:t>
      </w:r>
      <w:r w:rsidR="00BD657B">
        <w:rPr>
          <w:rFonts w:ascii="Times New Roman" w:hAnsi="Times New Roman"/>
          <w:sz w:val="24"/>
        </w:rPr>
        <w:t xml:space="preserve">are plant degradation due to </w:t>
      </w:r>
      <w:r w:rsidR="002A26DD">
        <w:rPr>
          <w:rFonts w:ascii="Times New Roman" w:hAnsi="Times New Roman"/>
          <w:sz w:val="24"/>
        </w:rPr>
        <w:t>aging</w:t>
      </w:r>
      <w:r w:rsidRPr="008E3092">
        <w:rPr>
          <w:rFonts w:ascii="Times New Roman" w:hAnsi="Times New Roman"/>
          <w:sz w:val="24"/>
        </w:rPr>
        <w:t xml:space="preserve">, stop/start cycling, and partial load operation. </w:t>
      </w:r>
    </w:p>
    <w:p w:rsidR="008D7AB6" w:rsidRPr="008E3092" w:rsidRDefault="008D7AB6" w:rsidP="008D7AB6">
      <w:pPr>
        <w:ind w:right="90"/>
        <w:rPr>
          <w:rFonts w:ascii="Times New Roman" w:hAnsi="Times New Roman"/>
          <w:sz w:val="24"/>
        </w:rPr>
      </w:pPr>
      <w:r>
        <w:rPr>
          <w:rFonts w:ascii="Times New Roman" w:hAnsi="Times New Roman"/>
          <w:sz w:val="24"/>
        </w:rPr>
        <w:t xml:space="preserve">Plant degradation, or </w:t>
      </w:r>
      <w:r w:rsidR="002A26DD">
        <w:rPr>
          <w:rFonts w:ascii="Times New Roman" w:hAnsi="Times New Roman"/>
          <w:sz w:val="24"/>
          <w:u w:val="single"/>
        </w:rPr>
        <w:t>aging</w:t>
      </w:r>
      <w:r>
        <w:rPr>
          <w:rFonts w:ascii="Times New Roman" w:hAnsi="Times New Roman"/>
          <w:sz w:val="24"/>
        </w:rPr>
        <w:t>,</w:t>
      </w:r>
      <w:r w:rsidRPr="008E3092">
        <w:rPr>
          <w:rFonts w:ascii="Times New Roman" w:hAnsi="Times New Roman"/>
          <w:sz w:val="24"/>
        </w:rPr>
        <w:t xml:space="preserve"> </w:t>
      </w:r>
      <w:r>
        <w:rPr>
          <w:rFonts w:ascii="Times New Roman" w:hAnsi="Times New Roman"/>
          <w:sz w:val="24"/>
        </w:rPr>
        <w:t>reflects</w:t>
      </w:r>
      <w:r w:rsidRPr="008E3092">
        <w:rPr>
          <w:rFonts w:ascii="Times New Roman" w:hAnsi="Times New Roman"/>
          <w:sz w:val="24"/>
        </w:rPr>
        <w:t xml:space="preserve"> the loss of efficiency that occurs as a plant is used and operational hours build up. In this analysis</w:t>
      </w:r>
      <w:r w:rsidR="00BD657B">
        <w:rPr>
          <w:rFonts w:ascii="Times New Roman" w:hAnsi="Times New Roman"/>
          <w:sz w:val="24"/>
        </w:rPr>
        <w:t>,</w:t>
      </w:r>
      <w:r w:rsidRPr="008E3092">
        <w:rPr>
          <w:rFonts w:ascii="Times New Roman" w:hAnsi="Times New Roman"/>
          <w:sz w:val="24"/>
        </w:rPr>
        <w:t xml:space="preserve"> the </w:t>
      </w:r>
      <w:r w:rsidR="002A26DD">
        <w:rPr>
          <w:rFonts w:ascii="Times New Roman" w:hAnsi="Times New Roman"/>
          <w:sz w:val="24"/>
        </w:rPr>
        <w:t>aging</w:t>
      </w:r>
      <w:r w:rsidRPr="008E3092">
        <w:rPr>
          <w:rFonts w:ascii="Times New Roman" w:hAnsi="Times New Roman"/>
          <w:sz w:val="24"/>
        </w:rPr>
        <w:t xml:space="preserve"> </w:t>
      </w:r>
      <w:r>
        <w:rPr>
          <w:rFonts w:ascii="Times New Roman" w:hAnsi="Times New Roman"/>
          <w:sz w:val="24"/>
        </w:rPr>
        <w:t>adjustment</w:t>
      </w:r>
      <w:r w:rsidRPr="008E3092">
        <w:rPr>
          <w:rFonts w:ascii="Times New Roman" w:hAnsi="Times New Roman"/>
          <w:sz w:val="24"/>
        </w:rPr>
        <w:t xml:space="preserve"> attempts to represent a middle-aged plant that is at the end of a maintenance cycle (maintenance partially restores CCCT performance). </w:t>
      </w:r>
    </w:p>
    <w:p w:rsidR="008D7AB6" w:rsidRPr="008E3092" w:rsidRDefault="008D7AB6" w:rsidP="008D7AB6">
      <w:pPr>
        <w:ind w:right="90"/>
        <w:rPr>
          <w:rFonts w:ascii="Times New Roman" w:hAnsi="Times New Roman"/>
          <w:sz w:val="24"/>
        </w:rPr>
      </w:pPr>
      <w:r w:rsidRPr="008E3092">
        <w:rPr>
          <w:rFonts w:ascii="Times New Roman" w:hAnsi="Times New Roman"/>
          <w:sz w:val="24"/>
        </w:rPr>
        <w:t>Cycling a CCCT by stopping and starting it frequently reduces average efficiency and this is taken into account in the EPS survey</w:t>
      </w:r>
      <w:r>
        <w:rPr>
          <w:rFonts w:ascii="Times New Roman" w:hAnsi="Times New Roman"/>
          <w:sz w:val="24"/>
        </w:rPr>
        <w:t xml:space="preserve"> and calculator</w:t>
      </w:r>
      <w:r w:rsidRPr="008E3092">
        <w:rPr>
          <w:rFonts w:ascii="Times New Roman" w:hAnsi="Times New Roman"/>
          <w:sz w:val="24"/>
        </w:rPr>
        <w:t xml:space="preserve">. Operating a CCCT at partial </w:t>
      </w:r>
      <w:r>
        <w:rPr>
          <w:rFonts w:ascii="Times New Roman" w:hAnsi="Times New Roman"/>
          <w:sz w:val="24"/>
        </w:rPr>
        <w:t>output</w:t>
      </w:r>
      <w:r w:rsidRPr="008E3092">
        <w:rPr>
          <w:rFonts w:ascii="Times New Roman" w:hAnsi="Times New Roman"/>
          <w:sz w:val="24"/>
        </w:rPr>
        <w:t xml:space="preserve"> for extended periods, say at 50 percent</w:t>
      </w:r>
      <w:r>
        <w:rPr>
          <w:rFonts w:ascii="Times New Roman" w:hAnsi="Times New Roman"/>
          <w:sz w:val="24"/>
        </w:rPr>
        <w:t xml:space="preserve"> or less</w:t>
      </w:r>
      <w:r w:rsidRPr="008E3092">
        <w:rPr>
          <w:rFonts w:ascii="Times New Roman" w:hAnsi="Times New Roman"/>
          <w:sz w:val="24"/>
        </w:rPr>
        <w:t xml:space="preserve"> of its rated output, also increases the average annual heat rate and decreases efficiency</w:t>
      </w:r>
      <w:r w:rsidR="002707B3">
        <w:rPr>
          <w:rStyle w:val="FootnoteReference"/>
          <w:rFonts w:ascii="Times New Roman" w:hAnsi="Times New Roman"/>
          <w:sz w:val="24"/>
        </w:rPr>
        <w:footnoteReference w:id="2"/>
      </w:r>
      <w:r w:rsidRPr="008E3092">
        <w:rPr>
          <w:rFonts w:ascii="Times New Roman" w:hAnsi="Times New Roman"/>
          <w:sz w:val="24"/>
        </w:rPr>
        <w:t xml:space="preserve">. </w:t>
      </w:r>
      <w:r w:rsidR="002707B3">
        <w:rPr>
          <w:rFonts w:ascii="Times New Roman" w:hAnsi="Times New Roman"/>
          <w:sz w:val="24"/>
        </w:rPr>
        <w:t xml:space="preserve">Frequently starting a CCCT from a cold or warm state also reduces overall efficiency. </w:t>
      </w:r>
      <w:r>
        <w:rPr>
          <w:rFonts w:ascii="Times New Roman" w:hAnsi="Times New Roman"/>
          <w:sz w:val="24"/>
        </w:rPr>
        <w:t xml:space="preserve">A </w:t>
      </w:r>
      <w:r w:rsidRPr="0020622B">
        <w:rPr>
          <w:rFonts w:ascii="Times New Roman" w:hAnsi="Times New Roman"/>
          <w:sz w:val="24"/>
          <w:u w:val="single"/>
        </w:rPr>
        <w:t>start/stop/partial load</w:t>
      </w:r>
      <w:r>
        <w:rPr>
          <w:rFonts w:ascii="Times New Roman" w:hAnsi="Times New Roman"/>
          <w:sz w:val="24"/>
        </w:rPr>
        <w:t xml:space="preserve"> adjustment factor was developed</w:t>
      </w:r>
      <w:r w:rsidR="007F5A12">
        <w:rPr>
          <w:rFonts w:ascii="Times New Roman" w:hAnsi="Times New Roman"/>
          <w:sz w:val="24"/>
        </w:rPr>
        <w:t xml:space="preserve"> which reflected</w:t>
      </w:r>
      <w:r w:rsidR="002707B3">
        <w:rPr>
          <w:rFonts w:ascii="Times New Roman" w:hAnsi="Times New Roman"/>
          <w:sz w:val="24"/>
        </w:rPr>
        <w:t xml:space="preserve"> the above factors.</w:t>
      </w:r>
    </w:p>
    <w:p w:rsidR="008D7AB6" w:rsidRPr="007F5A12" w:rsidRDefault="002707B3" w:rsidP="008D7AB6">
      <w:pPr>
        <w:ind w:right="90"/>
        <w:rPr>
          <w:rFonts w:ascii="Times New Roman" w:hAnsi="Times New Roman"/>
          <w:sz w:val="24"/>
        </w:rPr>
      </w:pPr>
      <w:r>
        <w:rPr>
          <w:rFonts w:ascii="Times New Roman" w:hAnsi="Times New Roman"/>
          <w:sz w:val="24"/>
        </w:rPr>
        <w:t>Other</w:t>
      </w:r>
      <w:r w:rsidR="008D7AB6" w:rsidRPr="007F5A12">
        <w:rPr>
          <w:rFonts w:ascii="Times New Roman" w:hAnsi="Times New Roman"/>
          <w:sz w:val="24"/>
        </w:rPr>
        <w:t xml:space="preserve"> adjustment factors </w:t>
      </w:r>
      <w:r>
        <w:rPr>
          <w:rFonts w:ascii="Times New Roman" w:hAnsi="Times New Roman"/>
          <w:sz w:val="24"/>
        </w:rPr>
        <w:t xml:space="preserve">for </w:t>
      </w:r>
      <w:r w:rsidRPr="0020622B">
        <w:rPr>
          <w:rFonts w:ascii="Times New Roman" w:hAnsi="Times New Roman"/>
          <w:sz w:val="24"/>
          <w:u w:val="single"/>
        </w:rPr>
        <w:t>duct firing</w:t>
      </w:r>
      <w:r>
        <w:rPr>
          <w:rFonts w:ascii="Times New Roman" w:hAnsi="Times New Roman"/>
          <w:sz w:val="24"/>
        </w:rPr>
        <w:t xml:space="preserve"> and </w:t>
      </w:r>
      <w:r w:rsidRPr="0020622B">
        <w:rPr>
          <w:rFonts w:ascii="Times New Roman" w:hAnsi="Times New Roman"/>
          <w:sz w:val="24"/>
          <w:u w:val="single"/>
        </w:rPr>
        <w:t>inlet cooling</w:t>
      </w:r>
      <w:r>
        <w:rPr>
          <w:rFonts w:ascii="Times New Roman" w:hAnsi="Times New Roman"/>
          <w:sz w:val="24"/>
        </w:rPr>
        <w:t xml:space="preserve"> were also assessed and are incorporated into </w:t>
      </w:r>
      <w:r w:rsidR="007F5A12">
        <w:rPr>
          <w:rFonts w:ascii="Times New Roman" w:hAnsi="Times New Roman"/>
          <w:sz w:val="24"/>
        </w:rPr>
        <w:t xml:space="preserve">the EPS </w:t>
      </w:r>
      <w:r w:rsidR="008D7AB6" w:rsidRPr="007F5A12">
        <w:rPr>
          <w:rFonts w:ascii="Times New Roman" w:hAnsi="Times New Roman"/>
          <w:sz w:val="24"/>
        </w:rPr>
        <w:t>calculator.</w:t>
      </w:r>
      <w:r>
        <w:rPr>
          <w:rFonts w:ascii="Times New Roman" w:hAnsi="Times New Roman"/>
          <w:sz w:val="24"/>
        </w:rPr>
        <w:t xml:space="preserve"> </w:t>
      </w:r>
    </w:p>
    <w:p w:rsidR="008D7AB6" w:rsidRDefault="008D7AB6" w:rsidP="008D7AB6">
      <w:pPr>
        <w:ind w:right="90"/>
        <w:rPr>
          <w:rFonts w:ascii="Times New Roman" w:hAnsi="Times New Roman"/>
          <w:color w:val="FF0000"/>
          <w:sz w:val="24"/>
        </w:rPr>
      </w:pPr>
      <w:r w:rsidRPr="008E3092">
        <w:rPr>
          <w:rFonts w:ascii="Times New Roman" w:hAnsi="Times New Roman"/>
          <w:sz w:val="24"/>
        </w:rPr>
        <w:t xml:space="preserve">The final operational heat rate approach used in the EPS </w:t>
      </w:r>
      <w:r w:rsidR="00C80F96">
        <w:rPr>
          <w:rFonts w:ascii="Times New Roman" w:hAnsi="Times New Roman"/>
          <w:sz w:val="24"/>
        </w:rPr>
        <w:t>calculator</w:t>
      </w:r>
      <w:r w:rsidRPr="008E3092">
        <w:rPr>
          <w:rFonts w:ascii="Times New Roman" w:hAnsi="Times New Roman"/>
          <w:sz w:val="24"/>
        </w:rPr>
        <w:t xml:space="preserve"> (and associated operational emission rate) is </w:t>
      </w:r>
      <w:r>
        <w:rPr>
          <w:rFonts w:ascii="Times New Roman" w:hAnsi="Times New Roman"/>
          <w:sz w:val="24"/>
        </w:rPr>
        <w:t>conservative</w:t>
      </w:r>
      <w:r w:rsidR="00C80F96">
        <w:rPr>
          <w:rFonts w:ascii="Times New Roman" w:hAnsi="Times New Roman"/>
          <w:sz w:val="24"/>
        </w:rPr>
        <w:t xml:space="preserve">. </w:t>
      </w:r>
      <w:r w:rsidRPr="008E3092">
        <w:rPr>
          <w:rFonts w:ascii="Times New Roman" w:hAnsi="Times New Roman"/>
          <w:sz w:val="24"/>
        </w:rPr>
        <w:t>Note</w:t>
      </w:r>
      <w:r w:rsidR="002A26DD">
        <w:rPr>
          <w:rFonts w:ascii="Times New Roman" w:hAnsi="Times New Roman"/>
          <w:sz w:val="24"/>
        </w:rPr>
        <w:t>,</w:t>
      </w:r>
      <w:r w:rsidRPr="008E3092">
        <w:rPr>
          <w:rFonts w:ascii="Times New Roman" w:hAnsi="Times New Roman"/>
          <w:sz w:val="24"/>
        </w:rPr>
        <w:t xml:space="preserve"> Commerce did not focus on the most extreme possible combination of de-rating factors when determining CCCT operational performance measures, as this combination of factors is a low-probability event. </w:t>
      </w:r>
    </w:p>
    <w:p w:rsidR="002707B3" w:rsidRPr="00903A8C" w:rsidRDefault="008D7AB6" w:rsidP="008D7AB6">
      <w:pPr>
        <w:ind w:right="90"/>
        <w:rPr>
          <w:rFonts w:ascii="Times New Roman" w:hAnsi="Times New Roman"/>
          <w:color w:val="FF0000"/>
          <w:sz w:val="24"/>
        </w:rPr>
      </w:pPr>
      <w:r w:rsidRPr="008E3092">
        <w:rPr>
          <w:rFonts w:ascii="Times New Roman" w:hAnsi="Times New Roman"/>
          <w:b/>
          <w:sz w:val="24"/>
        </w:rPr>
        <w:t>Average GHG emission rate</w:t>
      </w:r>
      <w:r w:rsidRPr="008E3092">
        <w:rPr>
          <w:rFonts w:ascii="Times New Roman" w:hAnsi="Times New Roman"/>
          <w:sz w:val="24"/>
        </w:rPr>
        <w:t>: The quantity of greenhouse g</w:t>
      </w:r>
      <w:r>
        <w:rPr>
          <w:rFonts w:ascii="Times New Roman" w:hAnsi="Times New Roman"/>
          <w:sz w:val="24"/>
        </w:rPr>
        <w:t>ases emitted (overwhelmingly CO</w:t>
      </w:r>
      <w:r>
        <w:rPr>
          <w:rFonts w:ascii="Times New Roman" w:hAnsi="Times New Roman"/>
          <w:sz w:val="24"/>
          <w:vertAlign w:val="subscript"/>
        </w:rPr>
        <w:t>2</w:t>
      </w:r>
      <w:r w:rsidRPr="008E3092">
        <w:rPr>
          <w:rFonts w:ascii="Times New Roman" w:hAnsi="Times New Roman"/>
          <w:sz w:val="24"/>
        </w:rPr>
        <w:t xml:space="preserve">), expressed in pounds per megawatt-hour of electricity production calculated on an annual basis. This value can be calculated using the new and clean or the adjusted operational heat rate for a CCCT. </w:t>
      </w:r>
      <w:bookmarkStart w:id="1" w:name="_Toc337548389"/>
      <w:r>
        <w:rPr>
          <w:rFonts w:ascii="Times New Roman" w:hAnsi="Times New Roman"/>
          <w:sz w:val="24"/>
        </w:rPr>
        <w:t>Commerce used a simple average for determining the average GHG emission rate.</w:t>
      </w:r>
      <w:bookmarkEnd w:id="1"/>
    </w:p>
    <w:sectPr w:rsidR="002707B3" w:rsidRPr="00903A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AB6" w:rsidRDefault="008D7AB6" w:rsidP="008D7AB6">
      <w:pPr>
        <w:spacing w:after="0" w:line="240" w:lineRule="auto"/>
      </w:pPr>
      <w:r>
        <w:separator/>
      </w:r>
    </w:p>
  </w:endnote>
  <w:endnote w:type="continuationSeparator" w:id="0">
    <w:p w:rsidR="008D7AB6" w:rsidRDefault="008D7AB6" w:rsidP="008D7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AB6" w:rsidRDefault="008D7AB6" w:rsidP="008D7AB6">
      <w:pPr>
        <w:spacing w:after="0" w:line="240" w:lineRule="auto"/>
      </w:pPr>
      <w:r>
        <w:separator/>
      </w:r>
    </w:p>
  </w:footnote>
  <w:footnote w:type="continuationSeparator" w:id="0">
    <w:p w:rsidR="008D7AB6" w:rsidRDefault="008D7AB6" w:rsidP="008D7AB6">
      <w:pPr>
        <w:spacing w:after="0" w:line="240" w:lineRule="auto"/>
      </w:pPr>
      <w:r>
        <w:continuationSeparator/>
      </w:r>
    </w:p>
  </w:footnote>
  <w:footnote w:id="1">
    <w:p w:rsidR="0020622B" w:rsidRPr="00BD657B" w:rsidRDefault="0020622B" w:rsidP="0020622B">
      <w:pPr>
        <w:pStyle w:val="ListParagraph"/>
        <w:spacing w:after="120"/>
        <w:ind w:left="0" w:right="270"/>
        <w:rPr>
          <w:sz w:val="18"/>
          <w:szCs w:val="18"/>
        </w:rPr>
      </w:pPr>
      <w:r w:rsidRPr="00BD657B">
        <w:rPr>
          <w:rStyle w:val="FootnoteReference"/>
          <w:sz w:val="18"/>
          <w:szCs w:val="18"/>
        </w:rPr>
        <w:footnoteRef/>
      </w:r>
      <w:r w:rsidRPr="00BD657B">
        <w:rPr>
          <w:sz w:val="18"/>
          <w:szCs w:val="18"/>
        </w:rPr>
        <w:t xml:space="preserve"> The survey includes the new and clean heat rate for 20 representative new CCCTs. Heat rate values are adjusted to take into account a number of design and operational factors that influence CCCT heat rate and GHG emissions. The survey does not include CCCTs that are commercially available, but were not sold/purchased and installed by utilities or independent power producers in the U.S. from 2012-2017.</w:t>
      </w:r>
    </w:p>
  </w:footnote>
  <w:footnote w:id="2">
    <w:p w:rsidR="002707B3" w:rsidRDefault="002707B3">
      <w:pPr>
        <w:pStyle w:val="FootnoteText"/>
      </w:pPr>
      <w:r>
        <w:rPr>
          <w:rStyle w:val="FootnoteReference"/>
        </w:rPr>
        <w:footnoteRef/>
      </w:r>
      <w:r>
        <w:t xml:space="preserve"> </w:t>
      </w:r>
      <w:r w:rsidRPr="002707B3">
        <w:rPr>
          <w:rFonts w:ascii="Times New Roman" w:hAnsi="Times New Roman"/>
          <w:szCs w:val="18"/>
        </w:rPr>
        <w:t>Power plants often operate at partial output when load following.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7EE7F80"/>
    <w:lvl w:ilvl="0">
      <w:start w:val="1"/>
      <w:numFmt w:val="decimal"/>
      <w:pStyle w:val="ListNumber"/>
      <w:lvlText w:val="%1."/>
      <w:lvlJc w:val="left"/>
      <w:pPr>
        <w:tabs>
          <w:tab w:val="num" w:pos="360"/>
        </w:tabs>
        <w:ind w:left="360" w:hanging="360"/>
      </w:pPr>
      <w:rPr>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AB6"/>
    <w:rsid w:val="0020622B"/>
    <w:rsid w:val="002707B3"/>
    <w:rsid w:val="002A26DD"/>
    <w:rsid w:val="00561479"/>
    <w:rsid w:val="00756B30"/>
    <w:rsid w:val="0079668D"/>
    <w:rsid w:val="007F5A12"/>
    <w:rsid w:val="008D7AB6"/>
    <w:rsid w:val="00903A8C"/>
    <w:rsid w:val="009222D4"/>
    <w:rsid w:val="00BD657B"/>
    <w:rsid w:val="00C80F96"/>
    <w:rsid w:val="00D02B8D"/>
    <w:rsid w:val="00D85573"/>
    <w:rsid w:val="00DA6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31B7F-55F0-410C-B8D7-7297F2A3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8D7AB6"/>
    <w:pPr>
      <w:keepNext/>
      <w:keepLines/>
      <w:spacing w:before="360" w:after="0" w:line="264" w:lineRule="auto"/>
      <w:outlineLvl w:val="0"/>
    </w:pPr>
    <w:rPr>
      <w:rFonts w:asciiTheme="majorHAnsi" w:eastAsia="Times New Roman" w:hAnsiTheme="majorHAnsi" w:cs="Arial"/>
      <w:b/>
      <w:bCs/>
      <w:sz w:val="26"/>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AB6"/>
    <w:rPr>
      <w:rFonts w:asciiTheme="majorHAnsi" w:eastAsia="Times New Roman" w:hAnsiTheme="majorHAnsi" w:cs="Arial"/>
      <w:b/>
      <w:bCs/>
      <w:sz w:val="26"/>
      <w:szCs w:val="24"/>
      <w:u w:val="single"/>
    </w:rPr>
  </w:style>
  <w:style w:type="paragraph" w:styleId="FootnoteText">
    <w:name w:val="footnote text"/>
    <w:basedOn w:val="Normal"/>
    <w:link w:val="FootnoteTextChar"/>
    <w:uiPriority w:val="99"/>
    <w:semiHidden/>
    <w:rsid w:val="008D7AB6"/>
    <w:pPr>
      <w:tabs>
        <w:tab w:val="left" w:pos="216"/>
      </w:tabs>
      <w:spacing w:before="40" w:after="0" w:line="240" w:lineRule="auto"/>
      <w:ind w:left="216" w:hanging="216"/>
    </w:pPr>
    <w:rPr>
      <w:rFonts w:ascii="Arial" w:eastAsia="Times New Roman" w:hAnsi="Arial" w:cs="Times New Roman"/>
      <w:sz w:val="18"/>
      <w:szCs w:val="20"/>
    </w:rPr>
  </w:style>
  <w:style w:type="character" w:customStyle="1" w:styleId="FootnoteTextChar">
    <w:name w:val="Footnote Text Char"/>
    <w:basedOn w:val="DefaultParagraphFont"/>
    <w:link w:val="FootnoteText"/>
    <w:uiPriority w:val="99"/>
    <w:semiHidden/>
    <w:rsid w:val="008D7AB6"/>
    <w:rPr>
      <w:rFonts w:ascii="Arial" w:eastAsia="Times New Roman" w:hAnsi="Arial" w:cs="Times New Roman"/>
      <w:sz w:val="18"/>
      <w:szCs w:val="20"/>
    </w:rPr>
  </w:style>
  <w:style w:type="character" w:styleId="FootnoteReference">
    <w:name w:val="footnote reference"/>
    <w:basedOn w:val="DefaultParagraphFont"/>
    <w:uiPriority w:val="99"/>
    <w:semiHidden/>
    <w:rsid w:val="008D7AB6"/>
    <w:rPr>
      <w:vertAlign w:val="superscript"/>
    </w:rPr>
  </w:style>
  <w:style w:type="paragraph" w:styleId="ListParagraph">
    <w:name w:val="List Paragraph"/>
    <w:basedOn w:val="Normal"/>
    <w:uiPriority w:val="34"/>
    <w:qFormat/>
    <w:rsid w:val="008D7AB6"/>
    <w:pPr>
      <w:spacing w:after="0" w:line="240" w:lineRule="auto"/>
      <w:ind w:left="720"/>
      <w:contextualSpacing/>
    </w:pPr>
    <w:rPr>
      <w:rFonts w:ascii="Times New Roman" w:eastAsia="Times New Roman" w:hAnsi="Times New Roman" w:cs="Times New Roman"/>
      <w:sz w:val="24"/>
      <w:szCs w:val="24"/>
    </w:rPr>
  </w:style>
  <w:style w:type="paragraph" w:styleId="ListNumber">
    <w:name w:val="List Number"/>
    <w:basedOn w:val="Normal"/>
    <w:uiPriority w:val="99"/>
    <w:rsid w:val="008D7AB6"/>
    <w:pPr>
      <w:numPr>
        <w:numId w:val="1"/>
      </w:numPr>
      <w:spacing w:before="240" w:after="0" w:line="276"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8D7AB6"/>
    <w:pPr>
      <w:spacing w:after="120"/>
    </w:pPr>
  </w:style>
  <w:style w:type="character" w:customStyle="1" w:styleId="BodyTextChar">
    <w:name w:val="Body Text Char"/>
    <w:basedOn w:val="DefaultParagraphFont"/>
    <w:link w:val="BodyText"/>
    <w:uiPriority w:val="99"/>
    <w:semiHidden/>
    <w:rsid w:val="008D7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7ACCB-164B-42EF-A841-9D08E2882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NOTHSTEIN</dc:creator>
  <cp:keywords/>
  <dc:description/>
  <cp:lastModifiedBy>Nothstein, Greg (COM)</cp:lastModifiedBy>
  <cp:revision>2</cp:revision>
  <dcterms:created xsi:type="dcterms:W3CDTF">2018-08-13T21:53:00Z</dcterms:created>
  <dcterms:modified xsi:type="dcterms:W3CDTF">2018-08-13T21:53:00Z</dcterms:modified>
</cp:coreProperties>
</file>