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39" w:rsidRPr="004D00FA" w:rsidRDefault="0084344A" w:rsidP="0031753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2</w:t>
      </w:r>
      <w:r w:rsidR="00317539" w:rsidRPr="004D00FA">
        <w:rPr>
          <w:rFonts w:ascii="Verdana" w:hAnsi="Verdana"/>
          <w:sz w:val="40"/>
          <w:szCs w:val="40"/>
        </w:rPr>
        <w:t>018 HUD Renewal Applica</w:t>
      </w:r>
      <w:r w:rsidR="005F0759">
        <w:rPr>
          <w:rFonts w:ascii="Verdana" w:hAnsi="Verdana"/>
          <w:sz w:val="40"/>
          <w:szCs w:val="40"/>
        </w:rPr>
        <w:t>n</w:t>
      </w:r>
      <w:r w:rsidR="00317539" w:rsidRPr="004D00FA">
        <w:rPr>
          <w:rFonts w:ascii="Verdana" w:hAnsi="Verdana"/>
          <w:sz w:val="40"/>
          <w:szCs w:val="40"/>
        </w:rPr>
        <w:t>t</w:t>
      </w:r>
      <w:r w:rsidR="005F0759">
        <w:rPr>
          <w:rFonts w:ascii="Verdana" w:hAnsi="Verdana"/>
          <w:sz w:val="40"/>
          <w:szCs w:val="40"/>
        </w:rPr>
        <w:t xml:space="preserve"> Profile</w:t>
      </w:r>
      <w:r w:rsidR="00317539" w:rsidRPr="004D00FA">
        <w:rPr>
          <w:rFonts w:ascii="Verdana" w:hAnsi="Verdana"/>
          <w:sz w:val="40"/>
          <w:szCs w:val="40"/>
        </w:rPr>
        <w:t xml:space="preserve"> Checklist</w:t>
      </w:r>
    </w:p>
    <w:p w:rsidR="000B3810" w:rsidRPr="004D00FA" w:rsidRDefault="000B3810" w:rsidP="00317539">
      <w:pPr>
        <w:rPr>
          <w:rFonts w:ascii="Verdana" w:hAnsi="Verdana"/>
          <w:b/>
          <w:sz w:val="28"/>
          <w:szCs w:val="28"/>
        </w:rPr>
      </w:pPr>
      <w:r w:rsidRPr="004D00FA">
        <w:rPr>
          <w:rFonts w:ascii="Verdana" w:hAnsi="Verdana"/>
          <w:b/>
          <w:sz w:val="28"/>
          <w:szCs w:val="28"/>
        </w:rPr>
        <w:t>Please use as resource before submitting in e</w:t>
      </w:r>
      <w:r w:rsidR="0084344A">
        <w:rPr>
          <w:rFonts w:ascii="Verdana" w:hAnsi="Verdana"/>
          <w:b/>
          <w:sz w:val="28"/>
          <w:szCs w:val="28"/>
        </w:rPr>
        <w:t>-</w:t>
      </w:r>
      <w:r w:rsidRPr="004D00FA">
        <w:rPr>
          <w:rFonts w:ascii="Verdana" w:hAnsi="Verdana"/>
          <w:b/>
          <w:sz w:val="28"/>
          <w:szCs w:val="28"/>
        </w:rPr>
        <w:t>snaps</w:t>
      </w:r>
      <w:r w:rsidR="0084344A">
        <w:rPr>
          <w:rFonts w:ascii="Verdana" w:hAnsi="Verdan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4D00FA" w:rsidTr="0083076C">
        <w:tc>
          <w:tcPr>
            <w:tcW w:w="10790" w:type="dxa"/>
            <w:gridSpan w:val="2"/>
          </w:tcPr>
          <w:p w:rsidR="004D00FA" w:rsidRPr="003A0A4B" w:rsidRDefault="003A0A4B" w:rsidP="00317539">
            <w:pPr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 w:rsidRPr="003A0A4B">
              <w:rPr>
                <w:rFonts w:ascii="Verdana" w:hAnsi="Verdana"/>
                <w:b/>
                <w:color w:val="002060"/>
                <w:sz w:val="28"/>
                <w:szCs w:val="28"/>
              </w:rPr>
              <w:t>Review Checklist Information</w:t>
            </w:r>
          </w:p>
        </w:tc>
      </w:tr>
      <w:tr w:rsidR="004D00FA" w:rsidTr="003A0A4B">
        <w:tc>
          <w:tcPr>
            <w:tcW w:w="2245" w:type="dxa"/>
          </w:tcPr>
          <w:p w:rsidR="004D00FA" w:rsidRPr="003A0A4B" w:rsidRDefault="003A0A4B" w:rsidP="00317539">
            <w:pPr>
              <w:rPr>
                <w:rFonts w:ascii="Verdana" w:hAnsi="Verdana"/>
                <w:sz w:val="24"/>
                <w:szCs w:val="24"/>
              </w:rPr>
            </w:pPr>
            <w:r w:rsidRPr="003A0A4B">
              <w:rPr>
                <w:rFonts w:ascii="Verdana" w:hAnsi="Verdana"/>
                <w:sz w:val="24"/>
                <w:szCs w:val="24"/>
              </w:rPr>
              <w:t>Agency Name:</w:t>
            </w:r>
          </w:p>
        </w:tc>
        <w:tc>
          <w:tcPr>
            <w:tcW w:w="8545" w:type="dxa"/>
          </w:tcPr>
          <w:p w:rsidR="004D00FA" w:rsidRDefault="004D00FA" w:rsidP="0031753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D00FA" w:rsidTr="003A0A4B">
        <w:tc>
          <w:tcPr>
            <w:tcW w:w="2245" w:type="dxa"/>
          </w:tcPr>
          <w:p w:rsidR="004D00FA" w:rsidRPr="003A0A4B" w:rsidRDefault="003A0A4B" w:rsidP="003175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Project Name:</w:t>
            </w:r>
          </w:p>
        </w:tc>
        <w:tc>
          <w:tcPr>
            <w:tcW w:w="8545" w:type="dxa"/>
          </w:tcPr>
          <w:p w:rsidR="004D00FA" w:rsidRDefault="004D00FA" w:rsidP="0031753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B3810" w:rsidRDefault="000B3810" w:rsidP="00861FB6">
      <w:pPr>
        <w:spacing w:after="0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8323"/>
      </w:tblGrid>
      <w:tr w:rsidR="00861FB6" w:rsidRPr="003A0A4B" w:rsidTr="00A911AA">
        <w:tc>
          <w:tcPr>
            <w:tcW w:w="10790" w:type="dxa"/>
            <w:gridSpan w:val="2"/>
          </w:tcPr>
          <w:p w:rsidR="00861FB6" w:rsidRPr="003A0A4B" w:rsidRDefault="00861FB6" w:rsidP="00CE6361">
            <w:pPr>
              <w:rPr>
                <w:rFonts w:ascii="Verdana" w:hAnsi="Verdana"/>
                <w:b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2060"/>
                <w:sz w:val="28"/>
                <w:szCs w:val="28"/>
              </w:rPr>
              <w:t>Applicant Profile (</w:t>
            </w:r>
            <w:r w:rsidRPr="00861FB6">
              <w:rPr>
                <w:rFonts w:ascii="Verdana" w:hAnsi="Verdana"/>
                <w:b/>
                <w:color w:val="FF0000"/>
                <w:sz w:val="28"/>
                <w:szCs w:val="28"/>
              </w:rPr>
              <w:t>Pro Tip</w:t>
            </w:r>
            <w:r>
              <w:rPr>
                <w:rFonts w:ascii="Verdana" w:hAnsi="Verdana"/>
                <w:b/>
                <w:color w:val="002060"/>
                <w:sz w:val="28"/>
                <w:szCs w:val="28"/>
              </w:rPr>
              <w:t>: On</w:t>
            </w:r>
            <w:r w:rsidR="00CE6361">
              <w:rPr>
                <w:rFonts w:ascii="Verdana" w:hAnsi="Verdana"/>
                <w:b/>
                <w:color w:val="002060"/>
                <w:sz w:val="28"/>
                <w:szCs w:val="28"/>
              </w:rPr>
              <w:t>ly need one per</w:t>
            </w:r>
            <w:r>
              <w:rPr>
                <w:rFonts w:ascii="Verdana" w:hAnsi="Verdana"/>
                <w:b/>
                <w:color w:val="002060"/>
                <w:sz w:val="28"/>
                <w:szCs w:val="28"/>
              </w:rPr>
              <w:t xml:space="preserve"> agency)</w:t>
            </w:r>
          </w:p>
        </w:tc>
      </w:tr>
      <w:tr w:rsidR="00861FB6" w:rsidTr="00A911AA">
        <w:tc>
          <w:tcPr>
            <w:tcW w:w="2245" w:type="dxa"/>
          </w:tcPr>
          <w:p w:rsidR="00861FB6" w:rsidRPr="00861FB6" w:rsidRDefault="00861FB6" w:rsidP="00861FB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Profile Type</w:t>
            </w:r>
          </w:p>
        </w:tc>
        <w:tc>
          <w:tcPr>
            <w:tcW w:w="8545" w:type="dxa"/>
          </w:tcPr>
          <w:p w:rsidR="00861FB6" w:rsidRPr="00642D32" w:rsidRDefault="00642D32" w:rsidP="00A911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 Is “Project Applicant”</w:t>
            </w:r>
          </w:p>
        </w:tc>
      </w:tr>
      <w:tr w:rsidR="00861FB6" w:rsidTr="001F5594">
        <w:trPr>
          <w:trHeight w:val="2114"/>
        </w:trPr>
        <w:tc>
          <w:tcPr>
            <w:tcW w:w="2245" w:type="dxa"/>
          </w:tcPr>
          <w:p w:rsidR="00861FB6" w:rsidRPr="00642D32" w:rsidRDefault="00861FB6" w:rsidP="00642D3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642D32">
              <w:rPr>
                <w:rFonts w:ascii="Verdana" w:hAnsi="Verdana"/>
                <w:sz w:val="24"/>
                <w:szCs w:val="24"/>
              </w:rPr>
              <w:t>Organization Information</w:t>
            </w:r>
          </w:p>
        </w:tc>
        <w:tc>
          <w:tcPr>
            <w:tcW w:w="8545" w:type="dxa"/>
          </w:tcPr>
          <w:p w:rsidR="00861FB6" w:rsidRPr="001F5594" w:rsidRDefault="00642D32" w:rsidP="00A911AA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F5594">
              <w:rPr>
                <w:rFonts w:ascii="Verdana" w:eastAsia="MS Gothic" w:hAnsi="Verdana"/>
                <w:sz w:val="24"/>
                <w:szCs w:val="24"/>
              </w:rPr>
              <w:t>Legal Name of Organization is Correct</w:t>
            </w:r>
          </w:p>
          <w:p w:rsidR="00642D32" w:rsidRPr="001F5594" w:rsidRDefault="00642D32" w:rsidP="00A911AA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F5594">
              <w:rPr>
                <w:rFonts w:ascii="Verdana" w:eastAsia="MS Gothic" w:hAnsi="Verdana"/>
                <w:sz w:val="24"/>
                <w:szCs w:val="24"/>
              </w:rPr>
              <w:t>Organization Type</w:t>
            </w:r>
          </w:p>
          <w:p w:rsidR="00642D32" w:rsidRPr="001F5594" w:rsidRDefault="00642D32" w:rsidP="00A911AA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F5594">
              <w:rPr>
                <w:rFonts w:ascii="Verdana" w:eastAsia="MS Gothic" w:hAnsi="Verdana"/>
                <w:sz w:val="24"/>
                <w:szCs w:val="24"/>
              </w:rPr>
              <w:t>Employer or Tax ID#</w:t>
            </w:r>
          </w:p>
          <w:p w:rsidR="00642D32" w:rsidRPr="001F5594" w:rsidRDefault="001F5594" w:rsidP="00A911AA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Organization </w:t>
            </w:r>
            <w:hyperlink r:id="rId8" w:anchor="1" w:history="1">
              <w:r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DUNS#</w:t>
              </w:r>
            </w:hyperlink>
          </w:p>
          <w:p w:rsidR="001F5594" w:rsidRPr="001F5594" w:rsidRDefault="001F5594" w:rsidP="001F5594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Address</w:t>
            </w:r>
          </w:p>
          <w:p w:rsidR="001F5594" w:rsidRPr="001F5594" w:rsidRDefault="001F5594" w:rsidP="001F5594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rPr>
                <w:rFonts w:ascii="Verdana" w:eastAsia="MS Gothic" w:hAnsi="Verdana"/>
                <w:sz w:val="24"/>
                <w:szCs w:val="24"/>
              </w:rPr>
              <w:t>All other sections complete (mailing address, org. address)</w:t>
            </w:r>
          </w:p>
          <w:p w:rsidR="001F5594" w:rsidRDefault="001F5594" w:rsidP="00A911A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61FB6" w:rsidTr="002D5B47">
        <w:trPr>
          <w:trHeight w:val="3896"/>
        </w:trPr>
        <w:tc>
          <w:tcPr>
            <w:tcW w:w="2245" w:type="dxa"/>
          </w:tcPr>
          <w:p w:rsidR="00861FB6" w:rsidRPr="00861FB6" w:rsidRDefault="00861FB6" w:rsidP="00861FB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Contact Information</w:t>
            </w:r>
          </w:p>
        </w:tc>
        <w:tc>
          <w:tcPr>
            <w:tcW w:w="8545" w:type="dxa"/>
          </w:tcPr>
          <w:p w:rsidR="00861FB6" w:rsidRDefault="002D5B47" w:rsidP="00A911AA">
            <w:pPr>
              <w:rPr>
                <w:rFonts w:ascii="Verdana" w:eastAsia="MS Gothic" w:hAnsi="Verdana"/>
                <w:sz w:val="24"/>
                <w:szCs w:val="24"/>
                <w:u w:val="single"/>
              </w:rPr>
            </w:pPr>
            <w:r w:rsidRPr="002D5B47">
              <w:rPr>
                <w:rFonts w:ascii="Verdana" w:eastAsia="MS Gothic" w:hAnsi="Verdan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ragraph">
                        <wp:posOffset>370840</wp:posOffset>
                      </wp:positionV>
                      <wp:extent cx="4953000" cy="1536700"/>
                      <wp:effectExtent l="0" t="0" r="0" b="635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153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B47" w:rsidRPr="002D5B47" w:rsidRDefault="002D5B47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</w:pPr>
                                  <w:r w:rsidRPr="002D5B47">
                                    <w:rPr>
                                      <w:rFonts w:ascii="Verdana" w:hAnsi="Verdana"/>
                                      <w:b/>
                                      <w:i/>
                                      <w:iCs/>
                                      <w:color w:val="5B9BD5" w:themeColor="accent1"/>
                                      <w:sz w:val="24"/>
                                    </w:rPr>
                                    <w:t>Definition of Authorized Representative</w:t>
                                  </w:r>
                                  <w:r w:rsidR="00642BAA">
                                    <w:rPr>
                                      <w:rFonts w:ascii="Verdana" w:hAnsi="Verdana"/>
                                      <w:b/>
                                      <w:i/>
                                      <w:iCs/>
                                      <w:color w:val="5B9BD5" w:themeColor="accent1"/>
                                      <w:sz w:val="24"/>
                                    </w:rPr>
                                    <w:t xml:space="preserve"> and </w:t>
                                  </w:r>
                                  <w:r w:rsidRPr="002D5B47">
                                    <w:rPr>
                                      <w:rFonts w:ascii="Verdana" w:hAnsi="Verdana"/>
                                      <w:b/>
                                      <w:i/>
                                      <w:iCs/>
                                      <w:color w:val="5B9BD5" w:themeColor="accent1"/>
                                      <w:sz w:val="24"/>
                                    </w:rPr>
                                    <w:t>Alternative Contact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iCs/>
                                      <w:color w:val="5B9BD5" w:themeColor="accent1"/>
                                      <w:sz w:val="24"/>
                                    </w:rPr>
                                    <w:t xml:space="preserve">: </w:t>
                                  </w:r>
                                  <w:r w:rsidR="00642BAA"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 xml:space="preserve"> </w:t>
                                  </w:r>
                                  <w:r w:rsidR="00F945FE"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>Authorized Representative</w:t>
                                  </w:r>
                                  <w:r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 xml:space="preserve"> make</w:t>
                                  </w:r>
                                  <w:r w:rsidR="00642BAA"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 xml:space="preserve"> sure the applicant profile is up to date and the NOFA is submitted to the BoS CoC for review. Each organization has only one Authorized Representative. The </w:t>
                                  </w:r>
                                  <w:r w:rsidR="001A28C2"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 xml:space="preserve">organization also names an Alternative Contact who </w:t>
                                  </w:r>
                                  <w:r w:rsidR="000670C6"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>handles</w:t>
                                  </w:r>
                                  <w:r w:rsidR="001A28C2"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 xml:space="preserve"> all other application issues. </w:t>
                                  </w:r>
                                  <w:r>
                                    <w:rPr>
                                      <w:rFonts w:ascii="Verdana" w:hAnsi="Verdana"/>
                                      <w:iCs/>
                                      <w:color w:val="5B9BD5" w:themeColor="accen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65pt;margin-top:29.2pt;width:390pt;height:12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" filled="f" stroked="f">
                      <v:textbox>
                        <w:txbxContent>
                          <w:p w:rsidR="002D5B47" w:rsidRPr="002D5B47" w:rsidRDefault="002D5B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</w:pPr>
                            <w:r w:rsidRPr="002D5B47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Definition of Authorized Representative</w:t>
                            </w:r>
                            <w:r w:rsidR="00642BAA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and </w:t>
                            </w:r>
                            <w:r w:rsidRPr="002D5B47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Alternative Contact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: </w:t>
                            </w:r>
                            <w:r w:rsidR="00642BAA"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>The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F945FE"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>Authorized Representative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make</w:t>
                            </w:r>
                            <w:r w:rsidR="00642BAA"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sure the applicant profile is up to date and the NOFA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>is submitted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to the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>BoS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>CoC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for review. Each organization has only one Authorized Representative. The </w:t>
                            </w:r>
                            <w:r w:rsidR="001A28C2"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organization also names an Alternative Contact who </w:t>
                            </w:r>
                            <w:r w:rsidR="000670C6"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>handles</w:t>
                            </w:r>
                            <w:r w:rsidR="001A28C2"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all other application issues. </w:t>
                            </w:r>
                            <w:r>
                              <w:rPr>
                                <w:rFonts w:ascii="Verdana" w:hAnsi="Verdana"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2F245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F5594">
              <w:rPr>
                <w:rFonts w:ascii="Verdana" w:eastAsia="MS Gothic" w:hAnsi="Verdana"/>
                <w:sz w:val="24"/>
                <w:szCs w:val="24"/>
              </w:rPr>
              <w:t>3A. Authorized Representative contact info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rmation </w:t>
            </w:r>
            <w:r w:rsidR="001F5594" w:rsidRPr="000803F7">
              <w:rPr>
                <w:rFonts w:ascii="Verdana" w:eastAsia="MS Gothic" w:hAnsi="Verdana"/>
                <w:sz w:val="24"/>
                <w:szCs w:val="24"/>
              </w:rPr>
              <w:t>complete</w:t>
            </w:r>
            <w:r w:rsidR="000803F7">
              <w:rPr>
                <w:rFonts w:ascii="Verdana" w:eastAsia="MS Gothic" w:hAnsi="Verdana"/>
                <w:sz w:val="24"/>
                <w:szCs w:val="24"/>
              </w:rPr>
              <w:t>.</w:t>
            </w:r>
          </w:p>
          <w:p w:rsidR="002D5B47" w:rsidRPr="001F5594" w:rsidRDefault="002D5B47" w:rsidP="007F568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1A28C2">
              <w:rPr>
                <w:rFonts w:ascii="Verdana" w:eastAsia="MS Gothic" w:hAnsi="Verdana"/>
                <w:sz w:val="24"/>
                <w:szCs w:val="24"/>
              </w:rPr>
              <w:t xml:space="preserve">3B. Alternative Contact info is complete. </w:t>
            </w:r>
          </w:p>
        </w:tc>
      </w:tr>
      <w:tr w:rsidR="00FF00E7" w:rsidTr="007A1BDB">
        <w:trPr>
          <w:trHeight w:val="2510"/>
        </w:trPr>
        <w:tc>
          <w:tcPr>
            <w:tcW w:w="2245" w:type="dxa"/>
          </w:tcPr>
          <w:p w:rsidR="00FF00E7" w:rsidRDefault="00FF00E7" w:rsidP="00FF00E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Additional Information</w:t>
            </w:r>
          </w:p>
        </w:tc>
        <w:tc>
          <w:tcPr>
            <w:tcW w:w="8545" w:type="dxa"/>
          </w:tcPr>
          <w:p w:rsidR="00F93D97" w:rsidRDefault="00FF00E7" w:rsidP="00FF00E7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>4.</w:t>
            </w:r>
            <w:r>
              <w:rPr>
                <w:rFonts w:ascii="Verdana" w:eastAsia="MS Gothic" w:hAnsi="Verdana"/>
                <w:sz w:val="24"/>
                <w:szCs w:val="24"/>
              </w:rPr>
              <w:t>1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  <w:hyperlink r:id="rId9" w:history="1">
              <w:r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Congres</w:t>
              </w:r>
              <w:r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s</w:t>
              </w:r>
              <w:r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ional districts</w:t>
              </w:r>
            </w:hyperlink>
            <w:r>
              <w:rPr>
                <w:rFonts w:ascii="Verdana" w:eastAsia="MS Gothic" w:hAnsi="Verdana"/>
                <w:sz w:val="24"/>
                <w:szCs w:val="24"/>
              </w:rPr>
              <w:t xml:space="preserve"> included </w:t>
            </w:r>
          </w:p>
          <w:p w:rsidR="00FF00E7" w:rsidRPr="00FF00E7" w:rsidRDefault="00FF00E7" w:rsidP="00FF00E7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>4.</w:t>
            </w:r>
            <w:r>
              <w:rPr>
                <w:rFonts w:ascii="Verdana" w:eastAsia="MS Gothic" w:hAnsi="Verdana"/>
                <w:sz w:val="24"/>
                <w:szCs w:val="24"/>
              </w:rPr>
              <w:t>2 Faith-Based Organization selection is chosen</w:t>
            </w:r>
          </w:p>
          <w:p w:rsidR="00FF00E7" w:rsidRPr="00FF00E7" w:rsidRDefault="00FF00E7" w:rsidP="00FF00E7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>4</w:t>
            </w:r>
            <w:r>
              <w:rPr>
                <w:rFonts w:ascii="Verdana" w:eastAsia="MS Gothic" w:hAnsi="Verdana"/>
                <w:sz w:val="24"/>
                <w:szCs w:val="24"/>
              </w:rPr>
              <w:t>.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 xml:space="preserve">3 </w:t>
            </w:r>
            <w:r>
              <w:rPr>
                <w:rFonts w:ascii="Verdana" w:eastAsia="MS Gothic" w:hAnsi="Verdana"/>
                <w:sz w:val="24"/>
                <w:szCs w:val="24"/>
              </w:rPr>
              <w:t>Federal Grant should be “Yes”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  <w:r w:rsidR="000803F7">
              <w:rPr>
                <w:rFonts w:ascii="Verdana" w:eastAsia="MS Gothic" w:hAnsi="Verdana"/>
                <w:sz w:val="24"/>
                <w:szCs w:val="24"/>
              </w:rPr>
              <w:t>for renewals</w:t>
            </w:r>
          </w:p>
          <w:p w:rsidR="00FF00E7" w:rsidRPr="002D5B47" w:rsidRDefault="00FF00E7" w:rsidP="00FF00E7">
            <w:pPr>
              <w:rPr>
                <w:rFonts w:ascii="Verdana" w:eastAsia="MS Gothic" w:hAnsi="Verdana"/>
                <w:noProof/>
                <w:sz w:val="24"/>
                <w:szCs w:val="24"/>
                <w:u w:val="single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>4</w:t>
            </w:r>
            <w:r>
              <w:rPr>
                <w:rFonts w:ascii="Verdana" w:eastAsia="MS Gothic" w:hAnsi="Verdana"/>
                <w:sz w:val="24"/>
                <w:szCs w:val="24"/>
              </w:rPr>
              <w:t>.4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  <w:r>
              <w:rPr>
                <w:rFonts w:ascii="Verdana" w:eastAsia="MS Gothic" w:hAnsi="Verdana"/>
                <w:sz w:val="24"/>
                <w:szCs w:val="24"/>
              </w:rPr>
              <w:t xml:space="preserve">Is Applicant’s Code of Conduct on file with HUD? Answer “Yes” if your agency is listed </w:t>
            </w:r>
            <w:hyperlink r:id="rId10" w:history="1">
              <w:r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he</w:t>
              </w:r>
              <w:r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r</w:t>
              </w:r>
              <w:r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e.</w:t>
              </w:r>
            </w:hyperlink>
          </w:p>
        </w:tc>
      </w:tr>
      <w:tr w:rsidR="00FF00E7" w:rsidTr="007A1BDB">
        <w:trPr>
          <w:trHeight w:val="2510"/>
        </w:trPr>
        <w:tc>
          <w:tcPr>
            <w:tcW w:w="2245" w:type="dxa"/>
          </w:tcPr>
          <w:p w:rsidR="00FF00E7" w:rsidRDefault="000026E0" w:rsidP="00FF00E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Attachments</w:t>
            </w:r>
          </w:p>
          <w:p w:rsidR="000026E0" w:rsidRDefault="000026E0" w:rsidP="000026E0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Forms</w:t>
            </w:r>
          </w:p>
        </w:tc>
        <w:tc>
          <w:tcPr>
            <w:tcW w:w="8545" w:type="dxa"/>
          </w:tcPr>
          <w:p w:rsidR="000026E0" w:rsidRPr="00F85E4F" w:rsidRDefault="000026E0" w:rsidP="000026E0">
            <w:pPr>
              <w:rPr>
                <w:rFonts w:ascii="Verdana" w:eastAsia="MS Gothic" w:hAnsi="Verdana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F85E4F" w:rsidRPr="00F85E4F">
              <w:rPr>
                <w:rFonts w:ascii="Verdana" w:eastAsia="MS Gothic" w:hAnsi="Verdana"/>
                <w:sz w:val="24"/>
                <w:szCs w:val="24"/>
              </w:rPr>
              <w:t>H</w:t>
            </w:r>
            <w:r w:rsidR="00F85E4F">
              <w:rPr>
                <w:rFonts w:ascii="Verdana" w:eastAsia="MS Gothic" w:hAnsi="Verdana"/>
                <w:sz w:val="24"/>
                <w:szCs w:val="24"/>
              </w:rPr>
              <w:t xml:space="preserve">UD form (online) – Note: HUD 2880 is divided between applicant profile and project application. For more info, review </w:t>
            </w:r>
            <w:r w:rsidR="00F93D97">
              <w:rPr>
                <w:rFonts w:ascii="Verdana" w:eastAsia="MS Gothic" w:hAnsi="Verdana"/>
                <w:sz w:val="24"/>
                <w:szCs w:val="24"/>
              </w:rPr>
              <w:t xml:space="preserve">– </w:t>
            </w:r>
            <w:hyperlink r:id="rId11" w:history="1">
              <w:r w:rsidR="00F85E4F"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How to complete HUD form 2880 in e</w:t>
              </w:r>
              <w:r w:rsidR="001B275B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-</w:t>
              </w:r>
              <w:r w:rsidR="00F85E4F" w:rsidRPr="00F93D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snaps</w:t>
              </w:r>
            </w:hyperlink>
            <w:r w:rsidRPr="00F85E4F">
              <w:rPr>
                <w:rFonts w:ascii="Verdana" w:eastAsia="MS Gothic" w:hAnsi="Verdana"/>
                <w:sz w:val="28"/>
                <w:szCs w:val="28"/>
              </w:rPr>
              <w:t xml:space="preserve"> </w:t>
            </w:r>
          </w:p>
          <w:p w:rsidR="000026E0" w:rsidRPr="00FF00E7" w:rsidRDefault="000026E0" w:rsidP="000026E0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F85E4F">
              <w:rPr>
                <w:rFonts w:ascii="Verdana" w:eastAsia="MS Gothic" w:hAnsi="Verdana"/>
                <w:sz w:val="24"/>
                <w:szCs w:val="24"/>
              </w:rPr>
              <w:t>Code of Conduct – attach ONLY if not</w:t>
            </w:r>
            <w:r w:rsidR="0019001B"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  <w:hyperlink r:id="rId12" w:history="1">
              <w:r w:rsidR="0019001B" w:rsidRPr="00833F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>already</w:t>
              </w:r>
              <w:r w:rsidR="00F85E4F" w:rsidRPr="00833F97">
                <w:rPr>
                  <w:rStyle w:val="Hyperlink"/>
                  <w:rFonts w:ascii="Verdana" w:eastAsia="MS Gothic" w:hAnsi="Verdana"/>
                  <w:sz w:val="24"/>
                  <w:szCs w:val="24"/>
                </w:rPr>
                <w:t xml:space="preserve"> on file with HUD</w:t>
              </w:r>
            </w:hyperlink>
            <w:r w:rsidR="00CF2E23">
              <w:rPr>
                <w:rFonts w:ascii="Verdana" w:eastAsia="MS Gothic" w:hAnsi="Verdana"/>
                <w:sz w:val="24"/>
                <w:szCs w:val="24"/>
              </w:rPr>
              <w:t xml:space="preserve"> or if it has been revised</w:t>
            </w:r>
            <w:r w:rsidR="00F85E4F">
              <w:rPr>
                <w:rFonts w:ascii="Verdana" w:eastAsia="MS Gothic" w:hAnsi="Verdana"/>
                <w:sz w:val="24"/>
                <w:szCs w:val="24"/>
              </w:rPr>
              <w:t>.</w:t>
            </w:r>
          </w:p>
          <w:p w:rsidR="000026E0" w:rsidRPr="00FF00E7" w:rsidRDefault="000026E0" w:rsidP="000026E0">
            <w:pPr>
              <w:rPr>
                <w:rFonts w:ascii="Verdana" w:eastAsia="MS Gothic" w:hAnsi="Verdan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F85E4F">
              <w:rPr>
                <w:rFonts w:ascii="Verdana" w:eastAsia="MS Gothic" w:hAnsi="Verdana"/>
                <w:sz w:val="24"/>
                <w:szCs w:val="24"/>
              </w:rPr>
              <w:t xml:space="preserve">Nonprofit Documentation – </w:t>
            </w:r>
            <w:r w:rsidR="009140CD">
              <w:rPr>
                <w:rFonts w:ascii="Verdana" w:eastAsia="MS Gothic" w:hAnsi="Verdana"/>
                <w:sz w:val="24"/>
                <w:szCs w:val="24"/>
              </w:rPr>
              <w:t xml:space="preserve">Nonprofit organizations must </w:t>
            </w:r>
            <w:r w:rsidR="00F85E4F">
              <w:rPr>
                <w:rFonts w:ascii="Verdana" w:eastAsia="MS Gothic" w:hAnsi="Verdana"/>
                <w:sz w:val="24"/>
                <w:szCs w:val="24"/>
              </w:rPr>
              <w:t xml:space="preserve">attach </w:t>
            </w:r>
            <w:r w:rsidR="009140CD">
              <w:rPr>
                <w:rFonts w:ascii="Verdana" w:eastAsia="MS Gothic" w:hAnsi="Verdana"/>
                <w:sz w:val="24"/>
                <w:szCs w:val="24"/>
              </w:rPr>
              <w:t>their</w:t>
            </w:r>
            <w:r w:rsidR="00F85E4F">
              <w:rPr>
                <w:rFonts w:ascii="Verdana" w:eastAsia="MS Gothic" w:hAnsi="Verdana"/>
                <w:sz w:val="24"/>
                <w:szCs w:val="24"/>
              </w:rPr>
              <w:t xml:space="preserve"> nonprofit 501c3 documentation.</w:t>
            </w:r>
            <w:r w:rsidRPr="00FF00E7">
              <w:rPr>
                <w:rFonts w:ascii="Verdana" w:eastAsia="MS Gothic" w:hAnsi="Verdan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F00E7" w:rsidRDefault="000026E0" w:rsidP="00D84BAF">
            <w:pPr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="00FE39DC">
              <w:rPr>
                <w:rFonts w:ascii="Verdana" w:eastAsia="MS Gothic" w:hAnsi="Verdana"/>
                <w:sz w:val="24"/>
                <w:szCs w:val="24"/>
              </w:rPr>
              <w:t xml:space="preserve">EEO Survey – </w:t>
            </w:r>
            <w:r w:rsidR="00F85E4F">
              <w:rPr>
                <w:rFonts w:ascii="Verdana" w:eastAsia="MS Gothic" w:hAnsi="Verdana"/>
                <w:sz w:val="24"/>
                <w:szCs w:val="24"/>
              </w:rPr>
              <w:t>SF-424 Survey on Ensuring Equal Opportun</w:t>
            </w:r>
            <w:r w:rsidR="00FE39DC">
              <w:rPr>
                <w:rFonts w:ascii="Verdana" w:eastAsia="MS Gothic" w:hAnsi="Verdana"/>
                <w:sz w:val="24"/>
                <w:szCs w:val="24"/>
              </w:rPr>
              <w:t>ities for Applicants</w:t>
            </w:r>
            <w:r w:rsidR="00D84BAF">
              <w:rPr>
                <w:rFonts w:ascii="Verdana" w:eastAsia="MS Gothic" w:hAnsi="Verdana"/>
                <w:sz w:val="24"/>
                <w:szCs w:val="24"/>
              </w:rPr>
              <w:t>. Only required for nonprofits. All nonprofits must submit a new form this year.</w:t>
            </w:r>
          </w:p>
        </w:tc>
      </w:tr>
    </w:tbl>
    <w:p w:rsidR="00861FB6" w:rsidRDefault="00861FB6" w:rsidP="00317539">
      <w:pPr>
        <w:rPr>
          <w:rFonts w:ascii="Verdana" w:hAnsi="Verdana"/>
          <w:sz w:val="28"/>
          <w:szCs w:val="28"/>
        </w:rPr>
      </w:pPr>
    </w:p>
    <w:p w:rsidR="000B3810" w:rsidRPr="000B3810" w:rsidRDefault="000B3810" w:rsidP="00317539">
      <w:pPr>
        <w:rPr>
          <w:rFonts w:ascii="Verdana" w:hAnsi="Verdana"/>
          <w:sz w:val="28"/>
          <w:szCs w:val="28"/>
        </w:rPr>
      </w:pPr>
    </w:p>
    <w:sectPr w:rsidR="000B3810" w:rsidRPr="000B3810" w:rsidSect="0031753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39" w:rsidRDefault="00317539" w:rsidP="00317539">
      <w:pPr>
        <w:spacing w:after="0" w:line="240" w:lineRule="auto"/>
      </w:pPr>
      <w:r>
        <w:separator/>
      </w:r>
    </w:p>
  </w:endnote>
  <w:endnote w:type="continuationSeparator" w:id="0">
    <w:p w:rsidR="00317539" w:rsidRDefault="00317539" w:rsidP="0031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B" w:rsidRDefault="007A1BDB">
    <w:pPr>
      <w:pStyle w:val="Footer"/>
    </w:pPr>
    <w:r>
      <w:t>Created June 2018</w:t>
    </w:r>
  </w:p>
  <w:p w:rsidR="007A1BDB" w:rsidRDefault="007A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39" w:rsidRDefault="00317539" w:rsidP="00317539">
      <w:pPr>
        <w:spacing w:after="0" w:line="240" w:lineRule="auto"/>
      </w:pPr>
      <w:r>
        <w:separator/>
      </w:r>
    </w:p>
  </w:footnote>
  <w:footnote w:type="continuationSeparator" w:id="0">
    <w:p w:rsidR="00317539" w:rsidRDefault="00317539" w:rsidP="0031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39" w:rsidRDefault="00317539">
    <w:pPr>
      <w:pStyle w:val="Header"/>
    </w:pPr>
    <w:r>
      <w:rPr>
        <w:noProof/>
      </w:rPr>
      <w:drawing>
        <wp:inline distT="0" distB="0" distL="0" distR="0">
          <wp:extent cx="1728216" cy="92354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 C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7C0C"/>
    <w:multiLevelType w:val="hybridMultilevel"/>
    <w:tmpl w:val="889C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39"/>
    <w:rsid w:val="000026E0"/>
    <w:rsid w:val="000670C6"/>
    <w:rsid w:val="000803F7"/>
    <w:rsid w:val="000B3810"/>
    <w:rsid w:val="0019001B"/>
    <w:rsid w:val="001A28C2"/>
    <w:rsid w:val="001B275B"/>
    <w:rsid w:val="001C3FF5"/>
    <w:rsid w:val="001F5594"/>
    <w:rsid w:val="00276DCE"/>
    <w:rsid w:val="002D5B47"/>
    <w:rsid w:val="002E7AFD"/>
    <w:rsid w:val="002F2450"/>
    <w:rsid w:val="00317539"/>
    <w:rsid w:val="003A0A4B"/>
    <w:rsid w:val="0047316C"/>
    <w:rsid w:val="00494ADA"/>
    <w:rsid w:val="004D00FA"/>
    <w:rsid w:val="005F0759"/>
    <w:rsid w:val="00642BAA"/>
    <w:rsid w:val="00642D32"/>
    <w:rsid w:val="006B7125"/>
    <w:rsid w:val="007A1BDB"/>
    <w:rsid w:val="007F568E"/>
    <w:rsid w:val="00833F97"/>
    <w:rsid w:val="0084344A"/>
    <w:rsid w:val="00861FB6"/>
    <w:rsid w:val="009140CD"/>
    <w:rsid w:val="00934943"/>
    <w:rsid w:val="009A4DE6"/>
    <w:rsid w:val="00B07E84"/>
    <w:rsid w:val="00B5373E"/>
    <w:rsid w:val="00C75BF7"/>
    <w:rsid w:val="00CE6361"/>
    <w:rsid w:val="00CF2E23"/>
    <w:rsid w:val="00D84BAF"/>
    <w:rsid w:val="00F85E4F"/>
    <w:rsid w:val="00F93D97"/>
    <w:rsid w:val="00F945FE"/>
    <w:rsid w:val="00FE39DC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064324"/>
  <w15:chartTrackingRefBased/>
  <w15:docId w15:val="{639CF7F6-47D1-4CEC-9AD8-EA54325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39"/>
  </w:style>
  <w:style w:type="paragraph" w:styleId="Footer">
    <w:name w:val="footer"/>
    <w:basedOn w:val="Normal"/>
    <w:link w:val="FooterChar"/>
    <w:uiPriority w:val="99"/>
    <w:unhideWhenUsed/>
    <w:rsid w:val="0031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39"/>
  </w:style>
  <w:style w:type="paragraph" w:styleId="NoSpacing">
    <w:name w:val="No Spacing"/>
    <w:uiPriority w:val="1"/>
    <w:qFormat/>
    <w:rsid w:val="003175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75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7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7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5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75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D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D3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2D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3D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SAM/?navigationalstate=JBPNS_rO0ABXdcACJqYXZheC5mYWNlcy5wb3J0bGV0YnJpZGdlLlNUQVRFX0lEAAAAAQApdmlldzoxYTU5MmNlOS00YzE1LTQwN2QtODNmOS1hOTM4ODgxMzJjMGYAB19fRU9GX18*&amp;portal:componentId=42c3b948-a1c0-4457-854d-4f9fcfb0443c&amp;interactionstate=JBPNS_rO0ABXcvABBfanNmQnJpZGdlVmlld0lkAAAAAQAOL2pzZi9sb2dpbi5qc3AAB19fRU9GX18*&amp;portal:type=action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.gov/program_offices/spm/gmomgmt/grantsinfo/conductgrants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exchange.info/resource/5595/how-to-complete-the-hud-form-2880-in-e-sna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d.gov/program_offices/spm/gmomgmt/grantsinfo/conductgrant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govtrack.us/congress/members/ma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1355D-2AAF-4987-839E-93BD16977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864D0-089B-4DC7-B7EE-070A71FEAB18}"/>
</file>

<file path=customXml/itemProps3.xml><?xml version="1.0" encoding="utf-8"?>
<ds:datastoreItem xmlns:ds="http://schemas.openxmlformats.org/officeDocument/2006/customXml" ds:itemID="{96301776-43CC-472E-A672-D19F2108E030}"/>
</file>

<file path=customXml/itemProps4.xml><?xml version="1.0" encoding="utf-8"?>
<ds:datastoreItem xmlns:ds="http://schemas.openxmlformats.org/officeDocument/2006/customXml" ds:itemID="{E4FF74EE-EAC3-4C90-A041-1FE48E13B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Mark (COM)</dc:creator>
  <cp:keywords/>
  <dc:description/>
  <cp:lastModifiedBy>Mazur-Hart, Matt (COM)</cp:lastModifiedBy>
  <cp:revision>19</cp:revision>
  <dcterms:created xsi:type="dcterms:W3CDTF">2018-06-04T17:30:00Z</dcterms:created>
  <dcterms:modified xsi:type="dcterms:W3CDTF">2018-06-28T23:18:00Z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</Properties>
</file>