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68" w:rsidRPr="00D44A0A" w:rsidRDefault="00A82368" w:rsidP="008B2153">
      <w:pPr>
        <w:pStyle w:val="Heading2"/>
        <w:spacing w:before="120" w:after="120"/>
        <w:jc w:val="center"/>
        <w:rPr>
          <w:rFonts w:ascii="Arial" w:hAnsi="Arial" w:cs="Arial"/>
          <w:sz w:val="28"/>
          <w:szCs w:val="28"/>
        </w:rPr>
      </w:pPr>
      <w:bookmarkStart w:id="0" w:name="_GoBack"/>
      <w:bookmarkEnd w:id="0"/>
      <w:r w:rsidRPr="00D44A0A">
        <w:rPr>
          <w:rFonts w:ascii="Arial" w:hAnsi="Arial" w:cs="Arial"/>
          <w:sz w:val="28"/>
          <w:szCs w:val="28"/>
        </w:rPr>
        <w:t>State of Washington</w:t>
      </w:r>
    </w:p>
    <w:p w:rsidR="00A82368" w:rsidRPr="00D44A0A" w:rsidRDefault="00602D88" w:rsidP="008B2153">
      <w:pPr>
        <w:pStyle w:val="Heading2"/>
        <w:spacing w:before="120" w:after="120"/>
        <w:jc w:val="center"/>
        <w:rPr>
          <w:rFonts w:ascii="Arial" w:hAnsi="Arial" w:cs="Arial"/>
          <w:sz w:val="28"/>
          <w:szCs w:val="28"/>
        </w:rPr>
      </w:pPr>
      <w:r>
        <w:rPr>
          <w:rFonts w:ascii="Arial" w:hAnsi="Arial" w:cs="Arial"/>
          <w:sz w:val="28"/>
          <w:szCs w:val="28"/>
        </w:rPr>
        <w:t>201</w:t>
      </w:r>
      <w:r w:rsidR="0061037C">
        <w:rPr>
          <w:rFonts w:ascii="Arial" w:hAnsi="Arial" w:cs="Arial"/>
          <w:sz w:val="28"/>
          <w:szCs w:val="28"/>
        </w:rPr>
        <w:t>7</w:t>
      </w:r>
    </w:p>
    <w:p w:rsidR="00A82368" w:rsidRPr="00D44A0A" w:rsidRDefault="00A82368" w:rsidP="008B2153">
      <w:pPr>
        <w:pStyle w:val="Heading3"/>
        <w:spacing w:before="120" w:after="120"/>
        <w:rPr>
          <w:rFonts w:ascii="Arial" w:hAnsi="Arial" w:cs="Arial"/>
        </w:rPr>
      </w:pPr>
      <w:r w:rsidRPr="00D44A0A">
        <w:rPr>
          <w:rFonts w:ascii="Arial" w:hAnsi="Arial" w:cs="Arial"/>
        </w:rPr>
        <w:t>Low-Income Home Energy Assistance Program</w:t>
      </w:r>
    </w:p>
    <w:p w:rsidR="00A82368" w:rsidRPr="00D44A0A" w:rsidRDefault="00A82368" w:rsidP="008B2153">
      <w:pPr>
        <w:pStyle w:val="Heading2"/>
        <w:spacing w:before="120" w:after="120"/>
        <w:jc w:val="center"/>
        <w:rPr>
          <w:rFonts w:ascii="Arial" w:hAnsi="Arial" w:cs="Arial"/>
          <w:sz w:val="28"/>
          <w:szCs w:val="28"/>
        </w:rPr>
      </w:pPr>
      <w:r w:rsidRPr="00D44A0A">
        <w:rPr>
          <w:rFonts w:ascii="Arial" w:hAnsi="Arial" w:cs="Arial"/>
          <w:sz w:val="28"/>
          <w:szCs w:val="28"/>
        </w:rPr>
        <w:t>Weatherization Waiver Request</w:t>
      </w:r>
    </w:p>
    <w:p w:rsidR="00A82368" w:rsidRPr="00D44A0A" w:rsidRDefault="00A82368">
      <w:pPr>
        <w:pStyle w:val="BodyText"/>
      </w:pPr>
    </w:p>
    <w:p w:rsidR="00A82368" w:rsidRPr="00D44A0A" w:rsidRDefault="00A82368">
      <w:pPr>
        <w:pStyle w:val="BodyText"/>
      </w:pPr>
      <w:r w:rsidRPr="00D44A0A">
        <w:t xml:space="preserve">The </w:t>
      </w:r>
      <w:r w:rsidR="00563D0A" w:rsidRPr="00D44A0A">
        <w:t>S</w:t>
      </w:r>
      <w:r w:rsidRPr="00D44A0A">
        <w:t xml:space="preserve">tate of Washington Department of </w:t>
      </w:r>
      <w:r w:rsidR="00D91297" w:rsidRPr="00D44A0A">
        <w:t>Commerce (Commerce)</w:t>
      </w:r>
      <w:r w:rsidRPr="00D44A0A">
        <w:t xml:space="preserve"> is petitioning the United States Department of Health and Human Services </w:t>
      </w:r>
      <w:r w:rsidR="0066731A" w:rsidRPr="00D44A0A">
        <w:t xml:space="preserve">(HHS) </w:t>
      </w:r>
      <w:r w:rsidRPr="00D44A0A">
        <w:t>to waive the maximum percentage limits placed on funds used for weatherization within the Low-Income Home Energ</w:t>
      </w:r>
      <w:r w:rsidR="0074169C">
        <w:t xml:space="preserve">y Assistance Program (LIHEAP). </w:t>
      </w:r>
      <w:r w:rsidRPr="00D44A0A">
        <w:t>Authority to request a waiver appears in the July 6, 1982 Federal Register 47 FR 29472 Part 96 of Title 45 of the Code of Federal Regulations as amended, with final rules published May 1, 1995 in 60 FR 21322.</w:t>
      </w:r>
    </w:p>
    <w:p w:rsidR="00A82368" w:rsidRPr="00D44A0A" w:rsidRDefault="00A82368"/>
    <w:p w:rsidR="00A82368" w:rsidRPr="00A57107" w:rsidRDefault="00A82368">
      <w:r w:rsidRPr="00D44A0A">
        <w:t xml:space="preserve">The statute provides that, after reviewing a grantee's waiver request, HHS may grant </w:t>
      </w:r>
      <w:r w:rsidRPr="00A57107">
        <w:t xml:space="preserve">a </w:t>
      </w:r>
      <w:r w:rsidR="00BD5118" w:rsidRPr="00A57107">
        <w:t>Good Cause Waiver</w:t>
      </w:r>
      <w:r w:rsidR="005A143A" w:rsidRPr="00A57107">
        <w:t xml:space="preserve"> request</w:t>
      </w:r>
      <w:r w:rsidRPr="00A57107">
        <w:t xml:space="preserve"> if it determines that</w:t>
      </w:r>
      <w:r w:rsidR="00B0671E" w:rsidRPr="00A57107">
        <w:t xml:space="preserve"> the grantee</w:t>
      </w:r>
      <w:r w:rsidR="005C78B4" w:rsidRPr="00A57107">
        <w:t xml:space="preserve"> (Commerce)</w:t>
      </w:r>
      <w:r w:rsidRPr="00A57107">
        <w:t>:</w:t>
      </w:r>
    </w:p>
    <w:p w:rsidR="00A82368" w:rsidRPr="00A57107" w:rsidRDefault="00A82368"/>
    <w:p w:rsidR="00A82368" w:rsidRPr="00A57107" w:rsidRDefault="00BD5118">
      <w:pPr>
        <w:numPr>
          <w:ilvl w:val="0"/>
          <w:numId w:val="8"/>
        </w:numPr>
      </w:pPr>
      <w:r w:rsidRPr="00A57107">
        <w:t>Demonstrates good cause why a waiver should be granted</w:t>
      </w:r>
      <w:r w:rsidR="004A1F6D" w:rsidRPr="00A57107">
        <w:t xml:space="preserve">; </w:t>
      </w:r>
    </w:p>
    <w:p w:rsidR="00A82368" w:rsidRPr="00A57107" w:rsidRDefault="00A82368"/>
    <w:p w:rsidR="00A82368" w:rsidRPr="00A57107" w:rsidRDefault="00B0671E">
      <w:pPr>
        <w:numPr>
          <w:ilvl w:val="0"/>
          <w:numId w:val="8"/>
        </w:numPr>
      </w:pPr>
      <w:r w:rsidRPr="00A57107">
        <w:t>Provides</w:t>
      </w:r>
      <w:r w:rsidR="004A1F6D" w:rsidRPr="00A57107">
        <w:t xml:space="preserve"> all required information</w:t>
      </w:r>
      <w:r w:rsidR="004407C5">
        <w:t>;</w:t>
      </w:r>
    </w:p>
    <w:p w:rsidR="00A82368" w:rsidRPr="00A57107" w:rsidRDefault="00A82368"/>
    <w:p w:rsidR="004A1F6D" w:rsidRPr="00A57107" w:rsidRDefault="00AF2124">
      <w:pPr>
        <w:numPr>
          <w:ilvl w:val="0"/>
          <w:numId w:val="8"/>
        </w:numPr>
      </w:pPr>
      <w:r w:rsidRPr="00A57107">
        <w:t>Shows</w:t>
      </w:r>
      <w:r w:rsidR="004A1F6D" w:rsidRPr="00A57107">
        <w:t xml:space="preserve"> adequate concern for timely and meaningful public review and comment; and </w:t>
      </w:r>
    </w:p>
    <w:p w:rsidR="004A1F6D" w:rsidRPr="00A57107" w:rsidRDefault="004A1F6D" w:rsidP="004A1F6D">
      <w:pPr>
        <w:pStyle w:val="ListParagraph"/>
      </w:pPr>
    </w:p>
    <w:p w:rsidR="00A82368" w:rsidRPr="00A57107" w:rsidRDefault="00AF2124">
      <w:pPr>
        <w:numPr>
          <w:ilvl w:val="0"/>
          <w:numId w:val="8"/>
        </w:numPr>
      </w:pPr>
      <w:r w:rsidRPr="00A57107">
        <w:t>Proposes</w:t>
      </w:r>
      <w:r w:rsidR="004A1F6D" w:rsidRPr="00A57107">
        <w:t xml:space="preserve"> weatherization that meets all relevant </w:t>
      </w:r>
      <w:r w:rsidR="007205B7" w:rsidRPr="00A57107">
        <w:t>requirements</w:t>
      </w:r>
      <w:r w:rsidR="001D1EA7" w:rsidRPr="00A57107">
        <w:t>.</w:t>
      </w:r>
    </w:p>
    <w:p w:rsidR="00A82368" w:rsidRPr="00A57107" w:rsidRDefault="00A82368"/>
    <w:p w:rsidR="00AE4443" w:rsidRPr="00D44A0A" w:rsidRDefault="007A62C2">
      <w:r w:rsidRPr="00A57107">
        <w:t>The State of Washington</w:t>
      </w:r>
      <w:r w:rsidR="00605F69" w:rsidRPr="00A57107">
        <w:t>’</w:t>
      </w:r>
      <w:r w:rsidR="00B416BE" w:rsidRPr="00A57107">
        <w:t xml:space="preserve">s </w:t>
      </w:r>
      <w:r w:rsidR="00BD5118" w:rsidRPr="00A57107">
        <w:t>Good Cause</w:t>
      </w:r>
      <w:r w:rsidR="00EB7952" w:rsidRPr="00A57107">
        <w:t xml:space="preserve"> </w:t>
      </w:r>
      <w:r w:rsidR="00B416BE" w:rsidRPr="00A57107">
        <w:t>W</w:t>
      </w:r>
      <w:r w:rsidR="00824586" w:rsidRPr="00A57107">
        <w:t>aiver</w:t>
      </w:r>
      <w:r w:rsidR="005A143A" w:rsidRPr="00A57107">
        <w:t xml:space="preserve"> request</w:t>
      </w:r>
      <w:r w:rsidR="00824586" w:rsidRPr="00A57107">
        <w:t xml:space="preserve"> </w:t>
      </w:r>
      <w:r w:rsidRPr="00A57107">
        <w:t xml:space="preserve">addresses </w:t>
      </w:r>
      <w:r w:rsidR="00605F69" w:rsidRPr="00A57107">
        <w:t>all four</w:t>
      </w:r>
      <w:r w:rsidRPr="00A57107">
        <w:t xml:space="preserve"> of these criteria.</w:t>
      </w:r>
      <w:r w:rsidR="0074169C" w:rsidRPr="00A57107">
        <w:t xml:space="preserve"> </w:t>
      </w:r>
      <w:r w:rsidR="00746032" w:rsidRPr="00A57107">
        <w:t>W</w:t>
      </w:r>
      <w:r w:rsidR="00E75D42" w:rsidRPr="00A57107">
        <w:t xml:space="preserve">e begin by asking </w:t>
      </w:r>
      <w:r w:rsidR="005A5A6A" w:rsidRPr="00A57107">
        <w:t xml:space="preserve">HHS </w:t>
      </w:r>
      <w:r w:rsidR="00E75D42" w:rsidRPr="00A57107">
        <w:t xml:space="preserve">for a transfer </w:t>
      </w:r>
      <w:r w:rsidR="00866964" w:rsidRPr="00A57107">
        <w:t>of up to 25 percent</w:t>
      </w:r>
      <w:r w:rsidR="00160AFC" w:rsidRPr="00A57107">
        <w:t xml:space="preserve"> of availab</w:t>
      </w:r>
      <w:r w:rsidR="00160AFC" w:rsidRPr="0070557C">
        <w:t>le LIHEAP Energy Assistance Program funds to the Weat</w:t>
      </w:r>
      <w:r w:rsidR="0074169C" w:rsidRPr="0070557C">
        <w:t xml:space="preserve">herization Assistance Program. </w:t>
      </w:r>
      <w:r w:rsidR="00160AFC" w:rsidRPr="0070557C">
        <w:t xml:space="preserve">Next, we </w:t>
      </w:r>
      <w:r w:rsidR="007963BB" w:rsidRPr="0070557C">
        <w:t>report the number of</w:t>
      </w:r>
      <w:r w:rsidR="00183A51" w:rsidRPr="0070557C">
        <w:t xml:space="preserve"> households served and benefit dollars disbursed </w:t>
      </w:r>
      <w:r w:rsidR="00B34CAF" w:rsidRPr="003E214D">
        <w:t xml:space="preserve">during </w:t>
      </w:r>
      <w:r w:rsidR="00E17988" w:rsidRPr="003E214D">
        <w:t xml:space="preserve">Federal Fiscal Years </w:t>
      </w:r>
      <w:r w:rsidR="00B50383" w:rsidRPr="003E214D">
        <w:t>201</w:t>
      </w:r>
      <w:r w:rsidR="00B64AB6">
        <w:t>6</w:t>
      </w:r>
      <w:r w:rsidR="00B50383" w:rsidRPr="003E214D">
        <w:t xml:space="preserve"> and </w:t>
      </w:r>
      <w:r w:rsidR="003E214D" w:rsidRPr="003E214D">
        <w:t xml:space="preserve">anticipated </w:t>
      </w:r>
      <w:r w:rsidR="00B50383" w:rsidRPr="003E214D">
        <w:t>201</w:t>
      </w:r>
      <w:r w:rsidR="00B64AB6">
        <w:t>7</w:t>
      </w:r>
      <w:r w:rsidR="00B34CAF" w:rsidRPr="003E214D">
        <w:t xml:space="preserve">, </w:t>
      </w:r>
      <w:r w:rsidR="00746032" w:rsidRPr="003E214D">
        <w:t>as well</w:t>
      </w:r>
      <w:r w:rsidR="00746032" w:rsidRPr="0070557C">
        <w:t xml:space="preserve"> as </w:t>
      </w:r>
      <w:r w:rsidR="005349C3">
        <w:t xml:space="preserve">provide </w:t>
      </w:r>
      <w:r w:rsidR="00746032" w:rsidRPr="0070557C">
        <w:t>documentation in suppo</w:t>
      </w:r>
      <w:r w:rsidR="00B34CAF" w:rsidRPr="0070557C">
        <w:t xml:space="preserve">rt of a </w:t>
      </w:r>
      <w:r w:rsidR="00BD5118">
        <w:t>Good Cause</w:t>
      </w:r>
      <w:r w:rsidR="00B34CAF" w:rsidRPr="0070557C">
        <w:t xml:space="preserve"> Waiver</w:t>
      </w:r>
      <w:r w:rsidR="00746032" w:rsidRPr="0070557C">
        <w:t>.</w:t>
      </w:r>
      <w:r w:rsidR="0074169C" w:rsidRPr="0070557C">
        <w:t xml:space="preserve"> </w:t>
      </w:r>
      <w:r w:rsidR="005F0A24" w:rsidRPr="0070557C">
        <w:t>We then</w:t>
      </w:r>
      <w:r w:rsidR="005F0A24" w:rsidRPr="00D44A0A">
        <w:t xml:space="preserve"> report on we</w:t>
      </w:r>
      <w:r w:rsidR="00E73354" w:rsidRPr="00D44A0A">
        <w:t>atherization services provided</w:t>
      </w:r>
      <w:r w:rsidR="00626431" w:rsidRPr="00D44A0A">
        <w:t xml:space="preserve"> and summarize </w:t>
      </w:r>
      <w:r w:rsidR="007D1FB6" w:rsidRPr="00D44A0A">
        <w:t xml:space="preserve">measureable savings in energy expenditures directly attributable to </w:t>
      </w:r>
      <w:r w:rsidR="005F0A24" w:rsidRPr="00D44A0A">
        <w:t xml:space="preserve">weatherization services in Washington State. </w:t>
      </w:r>
      <w:r w:rsidR="007D545A" w:rsidRPr="00D44A0A">
        <w:t xml:space="preserve">We conclude the waiver summarizing </w:t>
      </w:r>
      <w:r w:rsidR="00A61830">
        <w:t>additional</w:t>
      </w:r>
      <w:r w:rsidR="007D545A" w:rsidRPr="00D44A0A">
        <w:t xml:space="preserve"> factors that support our request. </w:t>
      </w:r>
      <w:r w:rsidR="00E34C1D" w:rsidRPr="00D44A0A">
        <w:t xml:space="preserve"> </w:t>
      </w:r>
    </w:p>
    <w:p w:rsidR="00E34C1D" w:rsidRPr="00BC2CAE" w:rsidRDefault="00E34C1D">
      <w:pPr>
        <w:rPr>
          <w:sz w:val="28"/>
          <w:szCs w:val="28"/>
        </w:rPr>
      </w:pPr>
    </w:p>
    <w:p w:rsidR="00B85151" w:rsidRPr="00AA2305" w:rsidRDefault="00B85151" w:rsidP="00B85151">
      <w:pPr>
        <w:keepNext/>
        <w:tabs>
          <w:tab w:val="right" w:leader="dot" w:pos="-1440"/>
          <w:tab w:val="left" w:pos="-360"/>
          <w:tab w:val="left" w:pos="0"/>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s>
        <w:suppressAutoHyphens/>
        <w:outlineLvl w:val="3"/>
        <w:rPr>
          <w:rFonts w:ascii="Arial" w:hAnsi="Arial" w:cs="Arial"/>
          <w:b/>
          <w:szCs w:val="20"/>
          <w:u w:val="single"/>
        </w:rPr>
      </w:pPr>
      <w:r w:rsidRPr="00AA2305">
        <w:rPr>
          <w:rFonts w:ascii="Arial" w:hAnsi="Arial" w:cs="Arial"/>
          <w:b/>
          <w:szCs w:val="20"/>
          <w:u w:val="single"/>
        </w:rPr>
        <w:t>Percent of Allocation Transferred to Weatherization</w:t>
      </w:r>
      <w:r w:rsidRPr="00AA2305">
        <w:rPr>
          <w:rFonts w:ascii="Arial" w:hAnsi="Arial" w:cs="Arial"/>
          <w:szCs w:val="20"/>
        </w:rPr>
        <w:t xml:space="preserve"> </w:t>
      </w:r>
    </w:p>
    <w:p w:rsidR="00B85151" w:rsidRPr="00AA2305" w:rsidRDefault="00B85151" w:rsidP="00B85151">
      <w:pPr>
        <w:rPr>
          <w:szCs w:val="20"/>
        </w:rPr>
      </w:pPr>
    </w:p>
    <w:p w:rsidR="00B85151" w:rsidRPr="00AA2305" w:rsidRDefault="00B85151" w:rsidP="00B85151">
      <w:pPr>
        <w:rPr>
          <w:rFonts w:ascii="Arial" w:hAnsi="Arial" w:cs="Arial"/>
          <w:b/>
          <w:i/>
        </w:rPr>
      </w:pPr>
      <w:r w:rsidRPr="00AA2305">
        <w:rPr>
          <w:rFonts w:ascii="Arial" w:hAnsi="Arial" w:cs="Arial"/>
          <w:b/>
          <w:i/>
        </w:rPr>
        <w:t>45 CFR 96.83(c)(1)</w:t>
      </w:r>
    </w:p>
    <w:p w:rsidR="00B85151" w:rsidRPr="00AA2305" w:rsidRDefault="00B85151" w:rsidP="00B85151"/>
    <w:p w:rsidR="00B85151" w:rsidRPr="00AA2305" w:rsidRDefault="00B85151" w:rsidP="00B85151">
      <w:pPr>
        <w:rPr>
          <w:szCs w:val="20"/>
        </w:rPr>
      </w:pPr>
      <w:r w:rsidRPr="00AA2305">
        <w:rPr>
          <w:szCs w:val="20"/>
        </w:rPr>
        <w:t>Commerce is requesting a waiver to transfer up to 25 percent of available LIHEAP Energy Assistance Program funds to the Weatherization Assistance Program. Approval of this waiver request will increase</w:t>
      </w:r>
      <w:r w:rsidR="004407C5">
        <w:rPr>
          <w:szCs w:val="20"/>
        </w:rPr>
        <w:t xml:space="preserve"> available</w:t>
      </w:r>
      <w:r w:rsidRPr="00AA2305">
        <w:rPr>
          <w:szCs w:val="20"/>
        </w:rPr>
        <w:t xml:space="preserve"> weatherization funding </w:t>
      </w:r>
      <w:r w:rsidRPr="00052E7B">
        <w:rPr>
          <w:szCs w:val="20"/>
        </w:rPr>
        <w:t>by $</w:t>
      </w:r>
      <w:r w:rsidR="006F1A4E" w:rsidRPr="00052E7B">
        <w:rPr>
          <w:szCs w:val="20"/>
        </w:rPr>
        <w:t>4.</w:t>
      </w:r>
      <w:r w:rsidR="0026521B" w:rsidRPr="00052E7B">
        <w:rPr>
          <w:szCs w:val="20"/>
        </w:rPr>
        <w:t>2</w:t>
      </w:r>
      <w:r w:rsidRPr="00AA2305">
        <w:rPr>
          <w:szCs w:val="20"/>
        </w:rPr>
        <w:t xml:space="preserve"> million and increase the waiver transfer from 15 percent to 25 percent. </w:t>
      </w:r>
    </w:p>
    <w:p w:rsidR="00B85151" w:rsidRPr="00AA2305" w:rsidRDefault="00B85151" w:rsidP="00B85151">
      <w:pPr>
        <w:rPr>
          <w:szCs w:val="20"/>
        </w:rPr>
      </w:pPr>
    </w:p>
    <w:p w:rsidR="00B85151" w:rsidRPr="00AA2305" w:rsidRDefault="00B85151" w:rsidP="00B85151">
      <w:pPr>
        <w:rPr>
          <w:szCs w:val="20"/>
        </w:rPr>
      </w:pPr>
      <w:r w:rsidRPr="00AA2305">
        <w:rPr>
          <w:szCs w:val="20"/>
        </w:rPr>
        <w:t xml:space="preserve">HHS approval of the full 25 percent brings all potential LIHEAP dollars to Washington State, providing an opportunity for agencies to enhance their programs and existing funding.  Commerce is committed to maintaining a local option for use of transfer amounts. </w:t>
      </w:r>
    </w:p>
    <w:p w:rsidR="00B85151" w:rsidRPr="00AA2305" w:rsidRDefault="00B85151" w:rsidP="00B85151">
      <w:pPr>
        <w:rPr>
          <w:szCs w:val="20"/>
        </w:rPr>
      </w:pPr>
    </w:p>
    <w:p w:rsidR="00B85151" w:rsidRPr="00AA2305" w:rsidRDefault="00B85151" w:rsidP="00B85151">
      <w:pPr>
        <w:rPr>
          <w:rFonts w:ascii="Arial" w:hAnsi="Arial" w:cs="Arial"/>
          <w:b/>
        </w:rPr>
      </w:pPr>
      <w:r w:rsidRPr="00AA2305">
        <w:rPr>
          <w:rFonts w:ascii="Arial" w:hAnsi="Arial" w:cs="Arial"/>
          <w:b/>
          <w:u w:val="single"/>
        </w:rPr>
        <w:lastRenderedPageBreak/>
        <w:t>Comparison of Households Served and Benefits Received</w:t>
      </w:r>
      <w:r w:rsidRPr="00AA2305">
        <w:rPr>
          <w:rFonts w:ascii="Arial" w:hAnsi="Arial" w:cs="Arial"/>
          <w:b/>
        </w:rPr>
        <w:t xml:space="preserve"> </w:t>
      </w:r>
    </w:p>
    <w:p w:rsidR="00B85151" w:rsidRPr="00AA2305" w:rsidRDefault="00B85151" w:rsidP="00B85151">
      <w:pPr>
        <w:keepNext/>
        <w:outlineLvl w:val="1"/>
        <w:rPr>
          <w:b/>
          <w:szCs w:val="20"/>
        </w:rPr>
      </w:pPr>
    </w:p>
    <w:p w:rsidR="0061037C" w:rsidRPr="001B39C3" w:rsidRDefault="0061037C" w:rsidP="0061037C">
      <w:pPr>
        <w:rPr>
          <w:b/>
          <w:bCs/>
          <w:sz w:val="22"/>
          <w:szCs w:val="22"/>
        </w:rPr>
      </w:pPr>
      <w:r w:rsidRPr="001B39C3">
        <w:rPr>
          <w:b/>
          <w:bCs/>
        </w:rPr>
        <w:t>FY 2016 LIHEAP Regular + Contingency Grant Award</w:t>
      </w:r>
    </w:p>
    <w:p w:rsidR="0061037C" w:rsidRPr="00052E7B" w:rsidRDefault="0061037C" w:rsidP="0061037C">
      <w:r w:rsidRPr="001B39C3">
        <w:t xml:space="preserve">Total Grant </w:t>
      </w:r>
      <w:r w:rsidRPr="00052E7B">
        <w:t>Award           $56.6 million</w:t>
      </w:r>
    </w:p>
    <w:p w:rsidR="0061037C" w:rsidRPr="00052E7B" w:rsidRDefault="0061037C" w:rsidP="0061037C">
      <w:r w:rsidRPr="00052E7B">
        <w:t>Energy Assistance            $47</w:t>
      </w:r>
      <w:r w:rsidR="00481D26">
        <w:t>.1</w:t>
      </w:r>
      <w:r w:rsidRPr="00052E7B">
        <w:t xml:space="preserve"> million</w:t>
      </w:r>
    </w:p>
    <w:p w:rsidR="0061037C" w:rsidRPr="00052E7B" w:rsidRDefault="0061037C" w:rsidP="0061037C">
      <w:r w:rsidRPr="00052E7B">
        <w:t>Households Served           75,514 (actual)</w:t>
      </w:r>
    </w:p>
    <w:p w:rsidR="0061037C" w:rsidRPr="00052E7B" w:rsidRDefault="0061037C" w:rsidP="0061037C"/>
    <w:p w:rsidR="0061037C" w:rsidRPr="00052E7B" w:rsidRDefault="0061037C" w:rsidP="0061037C">
      <w:pPr>
        <w:rPr>
          <w:b/>
          <w:bCs/>
        </w:rPr>
      </w:pPr>
      <w:r w:rsidRPr="00052E7B">
        <w:rPr>
          <w:b/>
          <w:bCs/>
        </w:rPr>
        <w:t>FY 2017 LIHEAP Regular + Anticipated Contingency Grant Award</w:t>
      </w:r>
    </w:p>
    <w:p w:rsidR="0061037C" w:rsidRPr="00052E7B" w:rsidRDefault="0061037C" w:rsidP="0061037C">
      <w:r w:rsidRPr="00052E7B">
        <w:t>Total Grant Award           $50.5</w:t>
      </w:r>
    </w:p>
    <w:p w:rsidR="0061037C" w:rsidRPr="00052E7B" w:rsidRDefault="0061037C" w:rsidP="0061037C">
      <w:r w:rsidRPr="00052E7B">
        <w:t>Energy Assistance            $42 million</w:t>
      </w:r>
    </w:p>
    <w:p w:rsidR="001B39C3" w:rsidRDefault="0061037C" w:rsidP="0061037C">
      <w:r w:rsidRPr="00052E7B">
        <w:t>Households Served           71,026 (estimate)</w:t>
      </w:r>
      <w:r w:rsidR="001B39C3" w:rsidRPr="00052E7B">
        <w:t>*</w:t>
      </w:r>
      <w:r w:rsidRPr="001B39C3">
        <w:t xml:space="preserve"> </w:t>
      </w:r>
    </w:p>
    <w:p w:rsidR="0061037C" w:rsidRPr="001B39C3" w:rsidRDefault="0061037C" w:rsidP="0061037C">
      <w:pPr>
        <w:rPr>
          <w:b/>
          <w:bCs/>
          <w:color w:val="1F497D"/>
          <w:sz w:val="18"/>
        </w:rPr>
      </w:pPr>
      <w:r w:rsidRPr="001B39C3">
        <w:rPr>
          <w:i/>
          <w:iCs/>
          <w:sz w:val="18"/>
        </w:rPr>
        <w:t>*Estimate includes 2 full months of households served. In</w:t>
      </w:r>
      <w:r w:rsidR="001B39C3">
        <w:rPr>
          <w:i/>
          <w:iCs/>
          <w:sz w:val="18"/>
        </w:rPr>
        <w:t xml:space="preserve"> </w:t>
      </w:r>
      <w:r w:rsidRPr="001B39C3">
        <w:rPr>
          <w:i/>
          <w:iCs/>
          <w:sz w:val="18"/>
        </w:rPr>
        <w:t>addition it considers impact of reported trend of no shows and impact of qualified alien policy</w:t>
      </w:r>
      <w:r w:rsidRPr="001B39C3">
        <w:rPr>
          <w:i/>
          <w:iCs/>
          <w:color w:val="1F497D"/>
          <w:sz w:val="18"/>
        </w:rPr>
        <w:t>.</w:t>
      </w:r>
    </w:p>
    <w:p w:rsidR="00B85151" w:rsidRPr="001B39C3" w:rsidRDefault="00B85151" w:rsidP="00B85151">
      <w:pPr>
        <w:rPr>
          <w:b/>
          <w:i/>
          <w:sz w:val="18"/>
        </w:rPr>
      </w:pPr>
    </w:p>
    <w:p w:rsidR="00B85151" w:rsidRPr="00D47110" w:rsidRDefault="00B85151" w:rsidP="00B85151">
      <w:pPr>
        <w:rPr>
          <w:rFonts w:ascii="Arial" w:hAnsi="Arial" w:cs="Arial"/>
          <w:b/>
          <w:i/>
        </w:rPr>
      </w:pPr>
      <w:r w:rsidRPr="00D47110">
        <w:rPr>
          <w:rFonts w:ascii="Arial" w:hAnsi="Arial" w:cs="Arial"/>
          <w:b/>
          <w:i/>
        </w:rPr>
        <w:t>45 CFR 96.83(c)(2)(i)</w:t>
      </w:r>
    </w:p>
    <w:p w:rsidR="00B85151" w:rsidRPr="00D47110" w:rsidRDefault="00B85151" w:rsidP="00B85151">
      <w:pPr>
        <w:rPr>
          <w:rFonts w:ascii="Arial" w:hAnsi="Arial" w:cs="Arial"/>
          <w:b/>
          <w:i/>
        </w:rPr>
      </w:pPr>
      <w:r w:rsidRPr="00D47110">
        <w:rPr>
          <w:rFonts w:ascii="Arial" w:hAnsi="Arial" w:cs="Arial"/>
          <w:b/>
          <w:i/>
        </w:rPr>
        <w:t>45 CFR 96.83(c)(3)</w:t>
      </w:r>
    </w:p>
    <w:p w:rsidR="00B85151" w:rsidRPr="00D47110" w:rsidRDefault="00B85151" w:rsidP="00B85151">
      <w:pPr>
        <w:rPr>
          <w:b/>
          <w:i/>
        </w:rPr>
      </w:pPr>
    </w:p>
    <w:p w:rsidR="00B85151" w:rsidRPr="00582AE6" w:rsidRDefault="00642AF9" w:rsidP="00B85151">
      <w:pPr>
        <w:rPr>
          <w:color w:val="FF0000"/>
        </w:rPr>
      </w:pPr>
      <w:r>
        <w:t xml:space="preserve">As a result of the loss of </w:t>
      </w:r>
      <w:r w:rsidR="00886373">
        <w:t>5</w:t>
      </w:r>
      <w:r>
        <w:t>.1 million in funding the anticipated number of households receiving Energy Assistance will be a</w:t>
      </w:r>
      <w:r w:rsidR="00B85151" w:rsidRPr="00D47110">
        <w:t xml:space="preserve">pproximately </w:t>
      </w:r>
      <w:r w:rsidR="0061037C">
        <w:t>4,488 fewer</w:t>
      </w:r>
      <w:r w:rsidR="00B85151" w:rsidRPr="00D47110">
        <w:t xml:space="preserve"> households </w:t>
      </w:r>
      <w:r w:rsidR="0061037C">
        <w:t>during FFY 2017</w:t>
      </w:r>
      <w:r w:rsidR="00B85151" w:rsidRPr="00D47110">
        <w:t xml:space="preserve"> than those served during FFY 201</w:t>
      </w:r>
      <w:r w:rsidR="0061037C">
        <w:t>6</w:t>
      </w:r>
      <w:r w:rsidR="00B85151" w:rsidRPr="00D47110">
        <w:t>.</w:t>
      </w:r>
      <w:r w:rsidR="00DF6622">
        <w:t xml:space="preserve"> </w:t>
      </w:r>
    </w:p>
    <w:p w:rsidR="004F3529" w:rsidRPr="00D47110" w:rsidRDefault="004F3529" w:rsidP="00B85151"/>
    <w:p w:rsidR="00B85151" w:rsidRPr="00D47110" w:rsidRDefault="00B85151" w:rsidP="00B85151">
      <w:pPr>
        <w:rPr>
          <w:rFonts w:ascii="Arial" w:hAnsi="Arial" w:cs="Arial"/>
          <w:b/>
          <w:i/>
        </w:rPr>
      </w:pPr>
      <w:r w:rsidRPr="00D47110">
        <w:rPr>
          <w:rFonts w:ascii="Arial" w:hAnsi="Arial" w:cs="Arial"/>
          <w:b/>
          <w:i/>
        </w:rPr>
        <w:t>45 CFR 96.83(c)(2)(ii)</w:t>
      </w:r>
    </w:p>
    <w:p w:rsidR="00B85151" w:rsidRPr="00D47110" w:rsidRDefault="00B85151" w:rsidP="00B85151">
      <w:pPr>
        <w:rPr>
          <w:rFonts w:ascii="Arial" w:hAnsi="Arial" w:cs="Arial"/>
          <w:b/>
          <w:i/>
        </w:rPr>
      </w:pPr>
      <w:r w:rsidRPr="00D47110">
        <w:rPr>
          <w:rFonts w:ascii="Arial" w:hAnsi="Arial" w:cs="Arial"/>
          <w:b/>
          <w:i/>
        </w:rPr>
        <w:t xml:space="preserve">45 CFR 96.83(c)(4) </w:t>
      </w:r>
    </w:p>
    <w:p w:rsidR="00B85151" w:rsidRPr="00D47110" w:rsidRDefault="00B85151" w:rsidP="00B85151"/>
    <w:p w:rsidR="00044E14" w:rsidRPr="00582AE6" w:rsidRDefault="00B85151" w:rsidP="00B85151">
      <w:pPr>
        <w:rPr>
          <w:i/>
          <w:color w:val="FF0000"/>
        </w:rPr>
      </w:pPr>
      <w:r w:rsidRPr="00D47110">
        <w:t xml:space="preserve">The aggregate amount of benefits our service population received during FFY </w:t>
      </w:r>
      <w:r w:rsidR="00FE1E60" w:rsidRPr="00D47110">
        <w:t>201</w:t>
      </w:r>
      <w:r w:rsidR="00FE1E60">
        <w:t>7</w:t>
      </w:r>
      <w:r w:rsidR="00FE1E60" w:rsidRPr="00D47110">
        <w:t xml:space="preserve"> </w:t>
      </w:r>
      <w:r w:rsidRPr="00D47110">
        <w:t xml:space="preserve">is approximately </w:t>
      </w:r>
      <w:r w:rsidRPr="004D3671">
        <w:t>$</w:t>
      </w:r>
      <w:r w:rsidR="00886373">
        <w:t>5</w:t>
      </w:r>
      <w:r w:rsidR="00FE1E60">
        <w:t>.1 million</w:t>
      </w:r>
      <w:r w:rsidR="004D3671">
        <w:t xml:space="preserve"> less than</w:t>
      </w:r>
      <w:r w:rsidRPr="00D47110">
        <w:t xml:space="preserve"> FFY </w:t>
      </w:r>
      <w:r w:rsidR="00FE1E60" w:rsidRPr="00D47110">
        <w:t>201</w:t>
      </w:r>
      <w:r w:rsidR="00FE1E60">
        <w:t>6</w:t>
      </w:r>
      <w:r w:rsidRPr="00D47110">
        <w:t>.</w:t>
      </w:r>
      <w:r w:rsidRPr="00AA2305">
        <w:t xml:space="preserve"> </w:t>
      </w:r>
    </w:p>
    <w:p w:rsidR="00602D88" w:rsidRPr="00BC2CAE" w:rsidRDefault="00602D88" w:rsidP="00602D88">
      <w:pPr>
        <w:rPr>
          <w:b/>
          <w:sz w:val="28"/>
          <w:szCs w:val="28"/>
          <w:u w:val="single"/>
        </w:rPr>
      </w:pPr>
    </w:p>
    <w:p w:rsidR="00602D88" w:rsidRPr="00D44A0A" w:rsidRDefault="00602D88" w:rsidP="00602D88">
      <w:pPr>
        <w:rPr>
          <w:rFonts w:ascii="Arial" w:hAnsi="Arial" w:cs="Arial"/>
          <w:b/>
          <w:u w:val="single"/>
        </w:rPr>
      </w:pPr>
      <w:r>
        <w:rPr>
          <w:rFonts w:ascii="Arial" w:hAnsi="Arial" w:cs="Arial"/>
          <w:b/>
          <w:u w:val="single"/>
        </w:rPr>
        <w:t xml:space="preserve">Support </w:t>
      </w:r>
      <w:r w:rsidRPr="00567A8A">
        <w:rPr>
          <w:rFonts w:ascii="Arial" w:hAnsi="Arial" w:cs="Arial"/>
          <w:b/>
          <w:u w:val="single"/>
        </w:rPr>
        <w:t xml:space="preserve">Documentation </w:t>
      </w:r>
      <w:r>
        <w:rPr>
          <w:rFonts w:ascii="Arial" w:hAnsi="Arial" w:cs="Arial"/>
          <w:b/>
          <w:u w:val="single"/>
        </w:rPr>
        <w:t>for</w:t>
      </w:r>
      <w:r w:rsidRPr="00567A8A">
        <w:rPr>
          <w:rFonts w:ascii="Arial" w:hAnsi="Arial" w:cs="Arial"/>
          <w:b/>
          <w:u w:val="single"/>
        </w:rPr>
        <w:t xml:space="preserve"> </w:t>
      </w:r>
      <w:r w:rsidR="0083047A">
        <w:rPr>
          <w:rFonts w:ascii="Arial" w:hAnsi="Arial" w:cs="Arial"/>
          <w:b/>
          <w:u w:val="single"/>
        </w:rPr>
        <w:t>Good Cause</w:t>
      </w:r>
      <w:r w:rsidRPr="00567A8A">
        <w:rPr>
          <w:rFonts w:ascii="Arial" w:hAnsi="Arial" w:cs="Arial"/>
          <w:b/>
          <w:u w:val="single"/>
        </w:rPr>
        <w:t xml:space="preserve"> Waiver</w:t>
      </w:r>
      <w:r w:rsidRPr="00D44A0A">
        <w:rPr>
          <w:rFonts w:ascii="Arial" w:hAnsi="Arial" w:cs="Arial"/>
          <w:b/>
          <w:u w:val="single"/>
        </w:rPr>
        <w:t xml:space="preserve"> </w:t>
      </w:r>
    </w:p>
    <w:p w:rsidR="00602D88" w:rsidRPr="00D44A0A" w:rsidRDefault="00602D88" w:rsidP="00602D88"/>
    <w:p w:rsidR="00602D88" w:rsidRPr="00580E90" w:rsidRDefault="00602D88" w:rsidP="00602D88">
      <w:pPr>
        <w:rPr>
          <w:b/>
          <w:i/>
        </w:rPr>
      </w:pPr>
      <w:r w:rsidRPr="00580E90">
        <w:rPr>
          <w:rFonts w:ascii="Arial" w:hAnsi="Arial" w:cs="Arial"/>
          <w:b/>
          <w:i/>
        </w:rPr>
        <w:t>45 CFR 96.83(e)(1)</w:t>
      </w:r>
    </w:p>
    <w:p w:rsidR="00602D88" w:rsidRPr="00D44A0A" w:rsidRDefault="00602D88" w:rsidP="00602D88">
      <w:pPr>
        <w:rPr>
          <w:b/>
          <w:i/>
        </w:rPr>
      </w:pPr>
    </w:p>
    <w:p w:rsidR="00602D88" w:rsidRPr="00D44A0A" w:rsidRDefault="00602D88" w:rsidP="00602D88">
      <w:r w:rsidRPr="00D44A0A">
        <w:t>The State of Washington does</w:t>
      </w:r>
      <w:r w:rsidR="004D3671">
        <w:t xml:space="preserve"> not</w:t>
      </w:r>
      <w:r w:rsidRPr="00D44A0A">
        <w:t xml:space="preserve"> meet</w:t>
      </w:r>
      <w:r w:rsidR="004D3671">
        <w:t xml:space="preserve"> all</w:t>
      </w:r>
      <w:r w:rsidRPr="00D44A0A">
        <w:t xml:space="preserve"> the criteria set forth in 45 CFR 96.83(c)(2)(i) and (c)</w:t>
      </w:r>
      <w:r>
        <w:t>(2)(ii)</w:t>
      </w:r>
      <w:r w:rsidR="004407C5">
        <w:t xml:space="preserve"> therefore is requesting a Good Cause Waiver instead of the Standard Waiver</w:t>
      </w:r>
      <w:r>
        <w:t xml:space="preserve">. </w:t>
      </w:r>
    </w:p>
    <w:p w:rsidR="00602D88" w:rsidRPr="00D44A0A" w:rsidRDefault="00602D88" w:rsidP="00602D88">
      <w:pPr>
        <w:rPr>
          <w:b/>
          <w:i/>
        </w:rPr>
      </w:pPr>
    </w:p>
    <w:p w:rsidR="00602D88" w:rsidRPr="00F37AD5" w:rsidRDefault="00602D88" w:rsidP="00602D88">
      <w:pPr>
        <w:rPr>
          <w:rFonts w:ascii="Arial" w:hAnsi="Arial" w:cs="Arial"/>
          <w:b/>
        </w:rPr>
      </w:pPr>
      <w:r w:rsidRPr="00580E90">
        <w:rPr>
          <w:rFonts w:ascii="Arial" w:hAnsi="Arial" w:cs="Arial"/>
          <w:b/>
          <w:i/>
        </w:rPr>
        <w:t>45 CFR 96.83(e)(1)(i)</w:t>
      </w:r>
      <w:r>
        <w:rPr>
          <w:rFonts w:ascii="Arial" w:hAnsi="Arial" w:cs="Arial"/>
          <w:b/>
          <w:i/>
        </w:rPr>
        <w:t xml:space="preserve"> </w:t>
      </w:r>
    </w:p>
    <w:p w:rsidR="00602D88" w:rsidRPr="00D44A0A" w:rsidRDefault="00602D88" w:rsidP="00602D88">
      <w:pPr>
        <w:ind w:left="720"/>
        <w:rPr>
          <w:rFonts w:ascii="Arial" w:hAnsi="Arial" w:cs="Arial"/>
          <w:b/>
          <w:i/>
          <w:sz w:val="20"/>
          <w:szCs w:val="20"/>
        </w:rPr>
      </w:pPr>
    </w:p>
    <w:p w:rsidR="00602D88" w:rsidRPr="00602D88" w:rsidRDefault="00602D88" w:rsidP="00602D88">
      <w:pPr>
        <w:ind w:left="720"/>
        <w:rPr>
          <w:rFonts w:ascii="Arial" w:hAnsi="Arial" w:cs="Arial"/>
          <w:b/>
        </w:rPr>
      </w:pPr>
      <w:r w:rsidRPr="00B839C6">
        <w:rPr>
          <w:rFonts w:ascii="Arial" w:hAnsi="Arial" w:cs="Arial"/>
          <w:b/>
          <w:i/>
          <w:sz w:val="20"/>
          <w:szCs w:val="20"/>
        </w:rPr>
        <w:t xml:space="preserve">In reference to 96.83(c)(2)(i) and 96.83(c)(3), Number of Households Served </w:t>
      </w:r>
    </w:p>
    <w:p w:rsidR="00BC2CAE" w:rsidRPr="00D44A0A" w:rsidRDefault="00BC2CAE" w:rsidP="00BC2CAE">
      <w:pPr>
        <w:ind w:left="720"/>
        <w:rPr>
          <w:rFonts w:ascii="Arial" w:hAnsi="Arial" w:cs="Arial"/>
          <w:b/>
          <w:i/>
          <w:sz w:val="20"/>
          <w:szCs w:val="20"/>
        </w:rPr>
      </w:pPr>
    </w:p>
    <w:p w:rsidR="00602D88" w:rsidRDefault="00602D88" w:rsidP="00602D88">
      <w:pPr>
        <w:ind w:left="720"/>
      </w:pPr>
      <w:r w:rsidRPr="002C1A34">
        <w:t xml:space="preserve">Commerce </w:t>
      </w:r>
      <w:r w:rsidR="00642AF9">
        <w:t>does not meet</w:t>
      </w:r>
      <w:r>
        <w:t xml:space="preserve"> the criteria for 96.83(c)(2)(i) </w:t>
      </w:r>
      <w:r w:rsidRPr="006F1A4E">
        <w:t>and does require a good cause waiver.</w:t>
      </w:r>
    </w:p>
    <w:p w:rsidR="00602D88" w:rsidRPr="006F1A4E" w:rsidRDefault="00602D88" w:rsidP="00602D88">
      <w:pPr>
        <w:ind w:left="720"/>
        <w:rPr>
          <w:b/>
          <w:i/>
        </w:rPr>
      </w:pPr>
    </w:p>
    <w:p w:rsidR="00602D88" w:rsidRPr="006F1A4E" w:rsidRDefault="00602D88" w:rsidP="00602D88">
      <w:pPr>
        <w:ind w:left="720"/>
        <w:rPr>
          <w:rFonts w:ascii="Arial" w:hAnsi="Arial" w:cs="Arial"/>
          <w:b/>
        </w:rPr>
      </w:pPr>
      <w:r w:rsidRPr="006F1A4E">
        <w:rPr>
          <w:rFonts w:ascii="Arial" w:hAnsi="Arial" w:cs="Arial"/>
          <w:b/>
          <w:i/>
          <w:sz w:val="20"/>
          <w:szCs w:val="20"/>
        </w:rPr>
        <w:t xml:space="preserve">In reference to 96.83(c)(2)(ii) and 96.83(c)(4), Aggregate Benefit Amounts </w:t>
      </w:r>
    </w:p>
    <w:p w:rsidR="00BC2CAE" w:rsidRPr="006F1A4E" w:rsidRDefault="00BC2CAE" w:rsidP="00BC2CAE">
      <w:pPr>
        <w:ind w:left="720"/>
        <w:rPr>
          <w:rFonts w:ascii="Arial" w:hAnsi="Arial" w:cs="Arial"/>
          <w:b/>
          <w:i/>
          <w:sz w:val="20"/>
          <w:szCs w:val="20"/>
        </w:rPr>
      </w:pPr>
    </w:p>
    <w:p w:rsidR="00602D88" w:rsidRPr="00D44A0A" w:rsidRDefault="00602D88" w:rsidP="00602D88">
      <w:pPr>
        <w:ind w:left="720"/>
      </w:pPr>
      <w:r w:rsidRPr="006F1A4E">
        <w:t xml:space="preserve">Commerce </w:t>
      </w:r>
      <w:r w:rsidR="00582AE6" w:rsidRPr="006F1A4E">
        <w:t xml:space="preserve">does not </w:t>
      </w:r>
      <w:r w:rsidRPr="006F1A4E">
        <w:t>meet the criteria for 96.83(c)(2)(ii) and does require a good cause waiver.</w:t>
      </w:r>
    </w:p>
    <w:p w:rsidR="00BC2CAE" w:rsidRDefault="00BC2CAE" w:rsidP="00BC2CAE">
      <w:pPr>
        <w:pStyle w:val="BodyText"/>
      </w:pPr>
    </w:p>
    <w:p w:rsidR="00602D88" w:rsidRPr="00670A96" w:rsidRDefault="0026521B" w:rsidP="00602D88">
      <w:r>
        <w:t>In regard to</w:t>
      </w:r>
      <w:r w:rsidRPr="00B839C6">
        <w:rPr>
          <w:rFonts w:ascii="Arial" w:hAnsi="Arial" w:cs="Arial"/>
          <w:b/>
          <w:i/>
          <w:sz w:val="20"/>
          <w:szCs w:val="20"/>
        </w:rPr>
        <w:t>96.83(c)(2)(</w:t>
      </w:r>
      <w:r>
        <w:rPr>
          <w:rFonts w:ascii="Arial" w:hAnsi="Arial" w:cs="Arial"/>
          <w:b/>
          <w:i/>
          <w:sz w:val="20"/>
          <w:szCs w:val="20"/>
        </w:rPr>
        <w:t xml:space="preserve">i) and </w:t>
      </w:r>
      <w:r w:rsidRPr="00B839C6">
        <w:rPr>
          <w:rFonts w:ascii="Arial" w:hAnsi="Arial" w:cs="Arial"/>
          <w:b/>
          <w:i/>
          <w:sz w:val="20"/>
          <w:szCs w:val="20"/>
        </w:rPr>
        <w:t>96.83(c)(2)(i</w:t>
      </w:r>
      <w:r>
        <w:rPr>
          <w:rFonts w:ascii="Arial" w:hAnsi="Arial" w:cs="Arial"/>
          <w:b/>
          <w:i/>
          <w:sz w:val="20"/>
          <w:szCs w:val="20"/>
        </w:rPr>
        <w:t>i)</w:t>
      </w:r>
      <w:r>
        <w:t xml:space="preserve"> </w:t>
      </w:r>
      <w:r w:rsidR="00602D88">
        <w:t xml:space="preserve">Commerce has </w:t>
      </w:r>
      <w:r w:rsidR="00602D88" w:rsidRPr="00670A96">
        <w:t xml:space="preserve">measurable and quantified data that support our weatherization network’s ability to provide cost-effective weatherization services that reduce the energy burden of our most vulnerable households. </w:t>
      </w:r>
    </w:p>
    <w:p w:rsidR="00602D88" w:rsidRDefault="00602D88" w:rsidP="00602D88">
      <w:pPr>
        <w:pStyle w:val="BodyText"/>
        <w:rPr>
          <w:noProof/>
        </w:rPr>
      </w:pPr>
    </w:p>
    <w:p w:rsidR="003E214D" w:rsidRDefault="003E214D" w:rsidP="00602D88">
      <w:pPr>
        <w:rPr>
          <w:rFonts w:ascii="Arial" w:hAnsi="Arial" w:cs="Arial"/>
          <w:b/>
          <w:i/>
        </w:rPr>
      </w:pPr>
    </w:p>
    <w:p w:rsidR="003E214D" w:rsidRDefault="003E214D" w:rsidP="00602D88">
      <w:pPr>
        <w:rPr>
          <w:rFonts w:ascii="Arial" w:hAnsi="Arial" w:cs="Arial"/>
          <w:b/>
          <w:i/>
        </w:rPr>
      </w:pPr>
    </w:p>
    <w:p w:rsidR="003E214D" w:rsidRDefault="003E214D" w:rsidP="00602D88">
      <w:pPr>
        <w:rPr>
          <w:rFonts w:ascii="Arial" w:hAnsi="Arial" w:cs="Arial"/>
          <w:b/>
          <w:i/>
        </w:rPr>
      </w:pPr>
    </w:p>
    <w:p w:rsidR="003E214D" w:rsidRDefault="003E214D" w:rsidP="00602D88">
      <w:pPr>
        <w:rPr>
          <w:rFonts w:ascii="Arial" w:hAnsi="Arial" w:cs="Arial"/>
          <w:b/>
          <w:i/>
        </w:rPr>
      </w:pPr>
    </w:p>
    <w:p w:rsidR="00602D88" w:rsidRPr="00E837B2" w:rsidRDefault="00602D88" w:rsidP="00602D88">
      <w:pPr>
        <w:rPr>
          <w:rFonts w:ascii="Arial" w:hAnsi="Arial" w:cs="Arial"/>
          <w:b/>
        </w:rPr>
      </w:pPr>
      <w:r w:rsidRPr="00C50F7C">
        <w:rPr>
          <w:rFonts w:ascii="Arial" w:hAnsi="Arial" w:cs="Arial"/>
          <w:b/>
          <w:i/>
        </w:rPr>
        <w:t>45 CFR 96.83(e)(1)(ii)</w:t>
      </w:r>
      <w:r>
        <w:rPr>
          <w:rFonts w:ascii="Arial" w:hAnsi="Arial" w:cs="Arial"/>
          <w:b/>
          <w:i/>
        </w:rPr>
        <w:t xml:space="preserve"> </w:t>
      </w:r>
    </w:p>
    <w:p w:rsidR="00602D88" w:rsidRPr="00C50F7C" w:rsidRDefault="00602D88" w:rsidP="00602D88"/>
    <w:p w:rsidR="00602D88" w:rsidRDefault="00602D88" w:rsidP="00602D88">
      <w:r w:rsidRPr="00C50F7C">
        <w:t xml:space="preserve">Income levels </w:t>
      </w:r>
      <w:r>
        <w:t xml:space="preserve">and eligibility criteria </w:t>
      </w:r>
      <w:r w:rsidR="00C13764">
        <w:t xml:space="preserve">based of the Federal Poverty Levels </w:t>
      </w:r>
      <w:r w:rsidRPr="00C50F7C">
        <w:t xml:space="preserve">for </w:t>
      </w:r>
      <w:r>
        <w:t xml:space="preserve">LIHEAP heating and crisis assistance applications have not changed from FFY </w:t>
      </w:r>
      <w:r w:rsidRPr="00134523">
        <w:t>201</w:t>
      </w:r>
      <w:r w:rsidR="00C13764">
        <w:t>6</w:t>
      </w:r>
      <w:r>
        <w:t xml:space="preserve"> to FFY </w:t>
      </w:r>
      <w:r w:rsidRPr="00134523">
        <w:t>201</w:t>
      </w:r>
      <w:r w:rsidR="00C13764">
        <w:t>7</w:t>
      </w:r>
      <w:r>
        <w:t>.  A</w:t>
      </w:r>
      <w:r w:rsidRPr="00C50F7C">
        <w:t>pplicants must be at or below 125</w:t>
      </w:r>
      <w:r>
        <w:t xml:space="preserve"> percent</w:t>
      </w:r>
      <w:r w:rsidRPr="00C50F7C">
        <w:t xml:space="preserve"> of the federal poverty level. LIHEAP benefits range from a $25 minimum to a $1,000 maximum.</w:t>
      </w:r>
    </w:p>
    <w:p w:rsidR="00D1044C" w:rsidRDefault="00D1044C" w:rsidP="00602D88">
      <w:pPr>
        <w:rPr>
          <w:rFonts w:ascii="Arial" w:hAnsi="Arial" w:cs="Arial"/>
          <w:b/>
          <w:i/>
        </w:rPr>
      </w:pPr>
    </w:p>
    <w:p w:rsidR="00602D88" w:rsidRPr="00C50F7C" w:rsidRDefault="00602D88" w:rsidP="00602D88">
      <w:pPr>
        <w:rPr>
          <w:rFonts w:ascii="Arial" w:hAnsi="Arial" w:cs="Arial"/>
          <w:b/>
        </w:rPr>
      </w:pPr>
      <w:r w:rsidRPr="001C76E5">
        <w:rPr>
          <w:rFonts w:ascii="Arial" w:hAnsi="Arial" w:cs="Arial"/>
          <w:b/>
          <w:i/>
        </w:rPr>
        <w:t>45 CFR 96.83(e)(1)(iii)</w:t>
      </w:r>
      <w:r w:rsidRPr="00C50F7C">
        <w:rPr>
          <w:rFonts w:ascii="Arial" w:hAnsi="Arial" w:cs="Arial"/>
          <w:b/>
          <w:i/>
        </w:rPr>
        <w:t xml:space="preserve"> </w:t>
      </w:r>
    </w:p>
    <w:p w:rsidR="00602D88" w:rsidRPr="00C50F7C" w:rsidRDefault="00602D88" w:rsidP="00602D88"/>
    <w:p w:rsidR="00602D88" w:rsidRPr="00C50F7C" w:rsidRDefault="00602D88" w:rsidP="00602D88">
      <w:r>
        <w:t>FFY</w:t>
      </w:r>
      <w:r w:rsidRPr="00C50F7C">
        <w:t xml:space="preserve"> </w:t>
      </w:r>
      <w:r w:rsidRPr="00134523">
        <w:t>201</w:t>
      </w:r>
      <w:r w:rsidR="00C13764">
        <w:t>6</w:t>
      </w:r>
      <w:r w:rsidRPr="00C50F7C">
        <w:t xml:space="preserve"> and </w:t>
      </w:r>
      <w:r>
        <w:t xml:space="preserve">FFY </w:t>
      </w:r>
      <w:r w:rsidRPr="00134523">
        <w:t>201</w:t>
      </w:r>
      <w:r w:rsidR="00C13764">
        <w:t>7</w:t>
      </w:r>
      <w:r w:rsidRPr="00C50F7C">
        <w:t xml:space="preserve"> have identical opening </w:t>
      </w:r>
      <w:r>
        <w:t xml:space="preserve">and closing </w:t>
      </w:r>
      <w:r w:rsidRPr="00C50F7C">
        <w:t>dates</w:t>
      </w:r>
      <w:r w:rsidRPr="00E30F99">
        <w:t xml:space="preserve"> for LIHEAP heating and crisis </w:t>
      </w:r>
      <w:r>
        <w:t xml:space="preserve">assistance </w:t>
      </w:r>
      <w:r w:rsidRPr="00E30F99">
        <w:t>applications</w:t>
      </w:r>
      <w:r>
        <w:t xml:space="preserve"> (October 1</w:t>
      </w:r>
      <w:r w:rsidRPr="003B0089">
        <w:rPr>
          <w:vertAlign w:val="superscript"/>
        </w:rPr>
        <w:t>st</w:t>
      </w:r>
      <w:r>
        <w:t xml:space="preserve"> thru</w:t>
      </w:r>
      <w:r w:rsidRPr="00E30F99">
        <w:t xml:space="preserve"> June 30</w:t>
      </w:r>
      <w:r w:rsidRPr="003B0089">
        <w:rPr>
          <w:vertAlign w:val="superscript"/>
        </w:rPr>
        <w:t>th</w:t>
      </w:r>
      <w:r>
        <w:t>)</w:t>
      </w:r>
      <w:r w:rsidRPr="00E30F99">
        <w:t>.</w:t>
      </w:r>
    </w:p>
    <w:p w:rsidR="00602D88" w:rsidRPr="00C50F7C" w:rsidRDefault="00602D88" w:rsidP="00602D88"/>
    <w:p w:rsidR="00602D88" w:rsidRPr="00D64BD7" w:rsidRDefault="00602D88" w:rsidP="00602D88">
      <w:r w:rsidRPr="00D64BD7">
        <w:t>Outreach efforts for heating</w:t>
      </w:r>
      <w:r>
        <w:t xml:space="preserve"> </w:t>
      </w:r>
      <w:r w:rsidRPr="00D64BD7">
        <w:t>and crisis assistance are</w:t>
      </w:r>
      <w:r>
        <w:t xml:space="preserve"> also</w:t>
      </w:r>
      <w:r w:rsidRPr="00D64BD7">
        <w:t xml:space="preserve"> identical for the </w:t>
      </w:r>
      <w:r w:rsidR="00C13764" w:rsidRPr="00134523">
        <w:t>201</w:t>
      </w:r>
      <w:r w:rsidR="00C13764">
        <w:t>6</w:t>
      </w:r>
      <w:r w:rsidR="00C13764" w:rsidRPr="00D64BD7">
        <w:t xml:space="preserve"> </w:t>
      </w:r>
      <w:r w:rsidRPr="00D64BD7">
        <w:t xml:space="preserve">and </w:t>
      </w:r>
      <w:r w:rsidR="00C13764" w:rsidRPr="00134523">
        <w:t>201</w:t>
      </w:r>
      <w:r w:rsidR="00C13764">
        <w:t>7</w:t>
      </w:r>
      <w:r w:rsidR="00C13764" w:rsidRPr="00D64BD7">
        <w:t xml:space="preserve"> </w:t>
      </w:r>
      <w:r w:rsidRPr="00D64BD7">
        <w:t>program years; both follow the Washington State Plans as submitted to HHS. Particular emphasis is placed on providing information on all programs funded under the LIHEAP Act to households which contain high home energy burdens; the elderly; individuals with disabilities; families with young children (under six years of age); and persons and families who are subject to communication barriers (non-English speaking persons and persons who do not have easy access to common public news media, such as newspapers, radio, or television). The following outreach activities are conducted to assure eligible households are aware of all LIHEAP assistance available:</w:t>
      </w:r>
    </w:p>
    <w:p w:rsidR="00602D88" w:rsidRPr="003739FA" w:rsidRDefault="00602D88" w:rsidP="00602D88"/>
    <w:p w:rsidR="00602D88" w:rsidRPr="003739FA" w:rsidRDefault="00602D88" w:rsidP="00602D88">
      <w:pPr>
        <w:pStyle w:val="BodyText"/>
        <w:numPr>
          <w:ilvl w:val="0"/>
          <w:numId w:val="7"/>
        </w:numPr>
      </w:pPr>
      <w:r w:rsidRPr="003739FA">
        <w:t>Provide intake service through home visits or by telephone for the physically infirm (i.e. elderly or disabled).</w:t>
      </w:r>
    </w:p>
    <w:p w:rsidR="00602D88" w:rsidRPr="003739FA" w:rsidRDefault="00602D88" w:rsidP="00602D88">
      <w:pPr>
        <w:pStyle w:val="BodyText"/>
        <w:numPr>
          <w:ilvl w:val="0"/>
          <w:numId w:val="7"/>
        </w:numPr>
      </w:pPr>
      <w:r w:rsidRPr="003739FA">
        <w:t>Place posters/flyers in local and county social service offices, offices of aging, Social Security offices, VA, etc.</w:t>
      </w:r>
    </w:p>
    <w:p w:rsidR="00602D88" w:rsidRPr="003739FA" w:rsidRDefault="00602D88" w:rsidP="00602D88">
      <w:pPr>
        <w:pStyle w:val="BodyText"/>
        <w:numPr>
          <w:ilvl w:val="0"/>
          <w:numId w:val="7"/>
        </w:numPr>
      </w:pPr>
      <w:r w:rsidRPr="003739FA">
        <w:t xml:space="preserve">Publish articles in local newspapers or </w:t>
      </w:r>
      <w:r>
        <w:t>broadcast media</w:t>
      </w:r>
      <w:r w:rsidRPr="003739FA">
        <w:t xml:space="preserve"> announcements.</w:t>
      </w:r>
    </w:p>
    <w:p w:rsidR="00602D88" w:rsidRPr="003739FA" w:rsidRDefault="00602D88" w:rsidP="00602D88">
      <w:pPr>
        <w:pStyle w:val="BodyText"/>
        <w:numPr>
          <w:ilvl w:val="0"/>
          <w:numId w:val="7"/>
        </w:numPr>
      </w:pPr>
      <w:r w:rsidRPr="003739FA">
        <w:t>Include inserts in energy vendor billings to inform individuals of the availability of all types of LIHEAP assistance.</w:t>
      </w:r>
    </w:p>
    <w:p w:rsidR="00602D88" w:rsidRPr="003739FA" w:rsidRDefault="00602D88" w:rsidP="00602D88">
      <w:pPr>
        <w:pStyle w:val="BodyText"/>
        <w:numPr>
          <w:ilvl w:val="0"/>
          <w:numId w:val="7"/>
        </w:numPr>
      </w:pPr>
      <w:r>
        <w:t>M</w:t>
      </w:r>
      <w:r w:rsidRPr="003739FA">
        <w:t>ailing</w:t>
      </w:r>
      <w:r>
        <w:t>s</w:t>
      </w:r>
      <w:r w:rsidRPr="003739FA">
        <w:t xml:space="preserve"> to past recipients of LIHEAP.</w:t>
      </w:r>
    </w:p>
    <w:p w:rsidR="00602D88" w:rsidRPr="003739FA" w:rsidRDefault="00602D88" w:rsidP="00602D88">
      <w:pPr>
        <w:pStyle w:val="BodyText"/>
        <w:numPr>
          <w:ilvl w:val="0"/>
          <w:numId w:val="7"/>
        </w:numPr>
      </w:pPr>
      <w:r w:rsidRPr="003739FA">
        <w:t>Inform low-income applicants of the availability of all types of LIHEAP assistance at application intake for other low-income programs.</w:t>
      </w:r>
    </w:p>
    <w:p w:rsidR="00602D88" w:rsidRPr="003739FA" w:rsidRDefault="00602D88" w:rsidP="00602D88">
      <w:pPr>
        <w:pStyle w:val="BodyText"/>
        <w:numPr>
          <w:ilvl w:val="0"/>
          <w:numId w:val="7"/>
        </w:numPr>
      </w:pPr>
      <w:r w:rsidRPr="003739FA">
        <w:t>Execute interagency agreements with other low-income program offices to perform outreach to target groups.</w:t>
      </w:r>
    </w:p>
    <w:p w:rsidR="00602D88" w:rsidRPr="003739FA" w:rsidRDefault="00602D88" w:rsidP="00602D88"/>
    <w:p w:rsidR="00602D88" w:rsidRPr="00595D4C" w:rsidRDefault="00602D88" w:rsidP="00602D88">
      <w:pPr>
        <w:rPr>
          <w:rFonts w:ascii="Arial" w:hAnsi="Arial" w:cs="Arial"/>
          <w:b/>
          <w:i/>
        </w:rPr>
      </w:pPr>
      <w:r w:rsidRPr="00595D4C">
        <w:rPr>
          <w:rFonts w:ascii="Arial" w:hAnsi="Arial" w:cs="Arial"/>
          <w:b/>
          <w:i/>
        </w:rPr>
        <w:t xml:space="preserve">45 CFR 96.83(e)(1)(iv) </w:t>
      </w:r>
    </w:p>
    <w:p w:rsidR="00602D88" w:rsidRPr="00595D4C" w:rsidRDefault="00602D88" w:rsidP="00602D88"/>
    <w:p w:rsidR="00602D88" w:rsidRDefault="00602D88" w:rsidP="00602D88">
      <w:r w:rsidRPr="00595D4C">
        <w:t xml:space="preserve">There are no other actions that led or will lead to a reduction in the number of applications for LIHEAP heating and crisis assistance in FFY </w:t>
      </w:r>
      <w:r w:rsidR="005B3757" w:rsidRPr="00595D4C">
        <w:t>201</w:t>
      </w:r>
      <w:r w:rsidR="005B3757">
        <w:t>6</w:t>
      </w:r>
      <w:r w:rsidR="005B3757" w:rsidRPr="00595D4C">
        <w:t xml:space="preserve"> </w:t>
      </w:r>
      <w:r w:rsidRPr="00595D4C">
        <w:t xml:space="preserve">compared to FFY </w:t>
      </w:r>
      <w:r w:rsidR="005B3757" w:rsidRPr="00595D4C">
        <w:t>201</w:t>
      </w:r>
      <w:r w:rsidR="005B3757">
        <w:t>7</w:t>
      </w:r>
      <w:r w:rsidRPr="00595D4C">
        <w:t>.</w:t>
      </w:r>
    </w:p>
    <w:p w:rsidR="00C6393B" w:rsidRPr="00BC2CAE" w:rsidRDefault="00C6393B" w:rsidP="00C6393B">
      <w:pPr>
        <w:rPr>
          <w:sz w:val="28"/>
          <w:szCs w:val="28"/>
        </w:rPr>
      </w:pPr>
    </w:p>
    <w:p w:rsidR="00B85151" w:rsidRDefault="00B85151" w:rsidP="00B85151">
      <w:pPr>
        <w:pStyle w:val="Heading4"/>
        <w:rPr>
          <w:rFonts w:ascii="Arial" w:hAnsi="Arial" w:cs="Arial"/>
          <w:u w:val="none"/>
        </w:rPr>
      </w:pPr>
      <w:r>
        <w:rPr>
          <w:rFonts w:ascii="Arial" w:hAnsi="Arial" w:cs="Arial"/>
        </w:rPr>
        <w:t>Weatherization Measures, Cost Effectiveness, and Program Benefits</w:t>
      </w:r>
      <w:r>
        <w:rPr>
          <w:rFonts w:ascii="Arial" w:hAnsi="Arial" w:cs="Arial"/>
          <w:u w:val="none"/>
        </w:rPr>
        <w:t xml:space="preserve"> </w:t>
      </w:r>
    </w:p>
    <w:p w:rsidR="00B85151" w:rsidRDefault="00B85151" w:rsidP="00B85151">
      <w:pPr>
        <w:pStyle w:val="Heading4"/>
        <w:rPr>
          <w:b w:val="0"/>
          <w:u w:val="none"/>
        </w:rPr>
      </w:pPr>
    </w:p>
    <w:p w:rsidR="00B85151" w:rsidRDefault="00B85151" w:rsidP="00B85151">
      <w:pPr>
        <w:pStyle w:val="BodyText"/>
        <w:rPr>
          <w:rFonts w:ascii="Arial" w:hAnsi="Arial" w:cs="Arial"/>
          <w:b/>
          <w:i/>
          <w:szCs w:val="24"/>
        </w:rPr>
      </w:pPr>
      <w:r>
        <w:rPr>
          <w:rFonts w:ascii="Arial" w:hAnsi="Arial" w:cs="Arial"/>
          <w:b/>
          <w:i/>
          <w:szCs w:val="24"/>
        </w:rPr>
        <w:t>45 CFR 96.83(c)(2)(iii)</w:t>
      </w:r>
    </w:p>
    <w:p w:rsidR="00B85151" w:rsidRDefault="00B85151" w:rsidP="00B85151">
      <w:pPr>
        <w:pStyle w:val="BodyText"/>
        <w:rPr>
          <w:rFonts w:ascii="Arial" w:hAnsi="Arial" w:cs="Arial"/>
          <w:b/>
          <w:i/>
          <w:szCs w:val="24"/>
        </w:rPr>
      </w:pPr>
      <w:r>
        <w:rPr>
          <w:rFonts w:ascii="Arial" w:hAnsi="Arial" w:cs="Arial"/>
          <w:b/>
          <w:i/>
          <w:szCs w:val="24"/>
        </w:rPr>
        <w:t>45 CFR 96.83(c)(5)</w:t>
      </w:r>
    </w:p>
    <w:p w:rsidR="00B85151" w:rsidRDefault="00B85151" w:rsidP="00B85151">
      <w:pPr>
        <w:pStyle w:val="Heading2"/>
        <w:rPr>
          <w:b w:val="0"/>
        </w:rPr>
      </w:pPr>
    </w:p>
    <w:p w:rsidR="00B85151" w:rsidRDefault="00B85151" w:rsidP="00B85151">
      <w:pPr>
        <w:pStyle w:val="Heading2"/>
        <w:rPr>
          <w:rFonts w:ascii="Arial" w:hAnsi="Arial" w:cs="Arial"/>
        </w:rPr>
      </w:pPr>
      <w:r>
        <w:rPr>
          <w:rFonts w:ascii="Arial" w:hAnsi="Arial" w:cs="Arial"/>
        </w:rPr>
        <w:t>Home Energy Audit</w:t>
      </w:r>
    </w:p>
    <w:p w:rsidR="00B85151" w:rsidRDefault="00B85151" w:rsidP="00B85151"/>
    <w:p w:rsidR="00B85151" w:rsidRDefault="00B85151" w:rsidP="00B85151">
      <w:pPr>
        <w:pStyle w:val="NormalIndent"/>
        <w:ind w:left="0"/>
      </w:pPr>
      <w:r>
        <w:t>To be considered a complete weatherized unit, all homes must receive a comprehensive, on-site, home energy audit prior to receiving weatherization services</w:t>
      </w:r>
      <w:r>
        <w:rPr>
          <w:b/>
          <w:bCs/>
        </w:rPr>
        <w:t xml:space="preserve">. </w:t>
      </w:r>
      <w:r>
        <w:t xml:space="preserve">Trained and qualified auditors conduct the audits. Auditors are certified as a Building Analyst 1 by the nationally-recognized Building Performance Institute (BPI). After July 1, 2015 a BPI-certified Home Energy Professional Quality Control Inspector (QCI) must inspect and sign off on all completed weatherization projects. </w:t>
      </w:r>
    </w:p>
    <w:p w:rsidR="00B85151" w:rsidRDefault="00B85151" w:rsidP="00B85151">
      <w:pPr>
        <w:pStyle w:val="BodyText"/>
      </w:pPr>
      <w:r>
        <w:t>Commerce’s “</w:t>
      </w:r>
      <w:r>
        <w:rPr>
          <w:i/>
        </w:rPr>
        <w:t>house-as-a-system</w:t>
      </w:r>
      <w:r>
        <w:t>” approach to comprehensive home energy audits consists of the following elements per home (as applicable):</w:t>
      </w:r>
    </w:p>
    <w:p w:rsidR="00B85151" w:rsidRDefault="00B85151" w:rsidP="00B85151">
      <w:pPr>
        <w:pStyle w:val="BodyText"/>
      </w:pPr>
    </w:p>
    <w:p w:rsidR="00B85151" w:rsidRDefault="00B85151" w:rsidP="00B85151">
      <w:pPr>
        <w:pStyle w:val="BodyText"/>
        <w:numPr>
          <w:ilvl w:val="0"/>
          <w:numId w:val="27"/>
        </w:numPr>
      </w:pPr>
      <w:r>
        <w:t>If available, review the household energy usage pattern from a 12-month billing history.</w:t>
      </w:r>
    </w:p>
    <w:p w:rsidR="00B85151" w:rsidRDefault="00B85151" w:rsidP="00B85151">
      <w:pPr>
        <w:pStyle w:val="BodyText"/>
        <w:numPr>
          <w:ilvl w:val="0"/>
          <w:numId w:val="27"/>
        </w:numPr>
      </w:pPr>
      <w:r>
        <w:t>Complete visual assessment of existing conditions and insulation levels – note any health and safety concerns.</w:t>
      </w:r>
    </w:p>
    <w:p w:rsidR="00B85151" w:rsidRDefault="00B85151" w:rsidP="00B85151">
      <w:pPr>
        <w:pStyle w:val="BodyText"/>
        <w:numPr>
          <w:ilvl w:val="0"/>
          <w:numId w:val="27"/>
        </w:numPr>
      </w:pPr>
      <w:r>
        <w:t>Note fuel types, condition and size of space and water heating equipment – designate primary and secondary heat sources.</w:t>
      </w:r>
    </w:p>
    <w:p w:rsidR="00B85151" w:rsidRDefault="00B85151" w:rsidP="00B85151">
      <w:pPr>
        <w:pStyle w:val="BodyText"/>
        <w:numPr>
          <w:ilvl w:val="0"/>
          <w:numId w:val="27"/>
        </w:numPr>
      </w:pPr>
      <w:r>
        <w:t>Measure the residence for the volume of the living space and square footage of the building envelope.</w:t>
      </w:r>
    </w:p>
    <w:p w:rsidR="00B85151" w:rsidRDefault="00B85151" w:rsidP="00B85151">
      <w:pPr>
        <w:pStyle w:val="BodyText"/>
        <w:numPr>
          <w:ilvl w:val="0"/>
          <w:numId w:val="27"/>
        </w:numPr>
      </w:pPr>
      <w:r>
        <w:t xml:space="preserve">Ask the occupant about building characteristics which may be helpful in developing a work plan (i.e. asking if there are any particularly drafty areas), and assess lifestyle considerations. </w:t>
      </w:r>
    </w:p>
    <w:p w:rsidR="00B85151" w:rsidRDefault="00B85151" w:rsidP="00B85151">
      <w:pPr>
        <w:pStyle w:val="BodyText"/>
        <w:numPr>
          <w:ilvl w:val="0"/>
          <w:numId w:val="27"/>
        </w:numPr>
      </w:pPr>
      <w:r>
        <w:t>Perform a fan-door test.</w:t>
      </w:r>
    </w:p>
    <w:p w:rsidR="00B85151" w:rsidRDefault="00B85151" w:rsidP="00B85151">
      <w:pPr>
        <w:pStyle w:val="BodyText"/>
        <w:numPr>
          <w:ilvl w:val="0"/>
          <w:numId w:val="27"/>
        </w:numPr>
      </w:pPr>
      <w:r>
        <w:t>Conduct pressure diagnostic tests of HVAC system and building zones.</w:t>
      </w:r>
    </w:p>
    <w:p w:rsidR="00B85151" w:rsidRDefault="00B85151" w:rsidP="00B85151">
      <w:pPr>
        <w:pStyle w:val="BodyText"/>
        <w:numPr>
          <w:ilvl w:val="0"/>
          <w:numId w:val="27"/>
        </w:numPr>
      </w:pPr>
      <w:r>
        <w:t>Perform combustion safety tests.</w:t>
      </w:r>
    </w:p>
    <w:p w:rsidR="00B85151" w:rsidRDefault="00B85151" w:rsidP="00B85151">
      <w:pPr>
        <w:pStyle w:val="BodyText"/>
        <w:numPr>
          <w:ilvl w:val="0"/>
          <w:numId w:val="27"/>
        </w:numPr>
      </w:pPr>
      <w:r>
        <w:t xml:space="preserve">Conduct client education, noting opportunities to provide low cost base load energy conservation measures. Contractors provide consumer conservation education to all weatherization participants. Curriculum consists of an energy bill review, home energy tour, basic energy conservation tips, and development of a family energy-saving action plan.  </w:t>
      </w:r>
    </w:p>
    <w:p w:rsidR="00B85151" w:rsidRDefault="00B85151" w:rsidP="00B85151"/>
    <w:p w:rsidR="00B85151" w:rsidRDefault="00B85151" w:rsidP="00B85151">
      <w:pPr>
        <w:spacing w:after="240"/>
      </w:pPr>
      <w:r>
        <w:t>Using this information as a basis, a scope of work is developed based on Commerce procedures governing Health and Safety, Air Sealing, Pressure Diagnostics, and Repairs as well as information collected using either a computerized energy audit (TREAT) or a DOE-approved</w:t>
      </w:r>
      <w:r>
        <w:rPr>
          <w:rStyle w:val="PageNumber"/>
        </w:rPr>
        <w:t xml:space="preserve"> Priority List of Weatherization</w:t>
      </w:r>
      <w:r>
        <w:t xml:space="preserve"> Measures. Local agencies are required to review a weatherization-specific scope of work with all clients receiving weatherization services.</w:t>
      </w:r>
    </w:p>
    <w:p w:rsidR="00B85151" w:rsidRDefault="00B85151" w:rsidP="00B85151">
      <w:pPr>
        <w:pStyle w:val="Heading2"/>
        <w:rPr>
          <w:rFonts w:ascii="Arial" w:hAnsi="Arial" w:cs="Arial"/>
        </w:rPr>
      </w:pPr>
      <w:r>
        <w:rPr>
          <w:rFonts w:ascii="Arial" w:hAnsi="Arial" w:cs="Arial"/>
        </w:rPr>
        <w:t xml:space="preserve">TREAT Computerized Energy Audit </w:t>
      </w:r>
    </w:p>
    <w:p w:rsidR="00B85151" w:rsidRDefault="00B85151" w:rsidP="00B85151">
      <w:pPr>
        <w:rPr>
          <w:highlight w:val="yellow"/>
        </w:rPr>
      </w:pPr>
    </w:p>
    <w:p w:rsidR="00B85151" w:rsidRDefault="00B85151" w:rsidP="00B85151">
      <w:pPr>
        <w:pStyle w:val="NormalIndent"/>
        <w:ind w:left="0"/>
        <w:rPr>
          <w:color w:val="000000" w:themeColor="text1"/>
        </w:rPr>
      </w:pPr>
      <w:r>
        <w:t xml:space="preserve">The Targeted Retrofit Energy Analysis Tool (TREAT) is the Washington State Weatherization Program energy audit tool approved and authorized by the U. S. Department of Energy </w:t>
      </w:r>
      <w:r>
        <w:rPr>
          <w:color w:val="000000" w:themeColor="text1"/>
        </w:rPr>
        <w:t>for single-family houses, mobile homes and multifamily buildings</w:t>
      </w:r>
      <w:r>
        <w:t xml:space="preserve">. TREAT energy audits are </w:t>
      </w:r>
      <w:r>
        <w:rPr>
          <w:color w:val="000000" w:themeColor="text1"/>
        </w:rPr>
        <w:t xml:space="preserve">required for analysis of any buildings beyond the priority list parameters. </w:t>
      </w:r>
    </w:p>
    <w:p w:rsidR="00B85151" w:rsidRDefault="00B85151" w:rsidP="00B85151">
      <w:pPr>
        <w:spacing w:after="240"/>
        <w:rPr>
          <w:bCs/>
        </w:rPr>
      </w:pPr>
      <w:r>
        <w:rPr>
          <w:bCs/>
        </w:rPr>
        <w:t>Commerce expects local agencies to calculate and maintain current costs for materials, labor, and fuels to be used in the TREAT auditing process. Costs are verified during monitoring reviews. Local agencies are responsible for ensuring that all staff performing computerized energy audits acquire and maintain proficiency using TREAT. Commerce provides introductory and advanced TREAT training through the Building Performance Center, Washington’s training and technical assistance provider.</w:t>
      </w:r>
    </w:p>
    <w:p w:rsidR="00B85151" w:rsidRDefault="00B85151" w:rsidP="00B85151">
      <w:pPr>
        <w:pStyle w:val="Heading2"/>
        <w:rPr>
          <w:rFonts w:ascii="Arial" w:hAnsi="Arial" w:cs="Arial"/>
        </w:rPr>
      </w:pPr>
      <w:r>
        <w:rPr>
          <w:rFonts w:ascii="Arial" w:hAnsi="Arial" w:cs="Arial"/>
        </w:rPr>
        <w:t xml:space="preserve">Priority List of Weatherization Measures </w:t>
      </w:r>
    </w:p>
    <w:p w:rsidR="00B85151" w:rsidRDefault="00B85151" w:rsidP="00B85151"/>
    <w:p w:rsidR="00B85151" w:rsidRDefault="00B85151" w:rsidP="00B85151">
      <w:pPr>
        <w:pStyle w:val="BodyText"/>
      </w:pPr>
      <w:r>
        <w:t xml:space="preserve">Commerce created Priority Lists of Weatherization Measures using the TREAT computerized energy audit on both multi-family and single-family buildings. The appropriate list to apply to each project is determined by a variety of building characteristics and configurations, fuel types, and two climactic regions of the state. The Priority Lists reflect those measures for which an average savings-to-investment ratio (SIR) of greater than 1.0 was established. The recent DOE approval of 20 Priority Lists of Weatherization Measures was implemented July 1, 2015 for use on site built dwellings (single family and small multi-family (four units or less)), and mobile home dwellings (the process for updating the Priority Lists for multi-family dwellings will begin soon).  Major Measures will be installed in order as shown on the approved priority list. A notable change is the transfer of our General Heat Waste Reduction List to the Priority Lists and these measures are now prioritized by SIR.   </w:t>
      </w:r>
    </w:p>
    <w:p w:rsidR="00B85151" w:rsidRDefault="00B85151" w:rsidP="00B85151">
      <w:pPr>
        <w:pStyle w:val="BodyText"/>
      </w:pPr>
    </w:p>
    <w:p w:rsidR="00B85151" w:rsidRDefault="00B85151" w:rsidP="00B85151">
      <w:pPr>
        <w:pStyle w:val="BodyText"/>
      </w:pPr>
      <w:r>
        <w:t>Measures not included in the Priority Lists must be justified by using TREAT, the DOE-approved energy audit tool. TREAT energy audits must result in at least an SIR of 1.0 or greater, or through special authorization by Commerce. The most cost-effective measures as determined by TREAT or the Priority Lists will ordinarily be installed, subject to funding availability. Any deviation from this measure selection process must have written justification documented in the client file.</w:t>
      </w:r>
    </w:p>
    <w:p w:rsidR="00B85151" w:rsidRDefault="00B85151" w:rsidP="00B85151">
      <w:pPr>
        <w:pStyle w:val="BodyText"/>
      </w:pPr>
    </w:p>
    <w:p w:rsidR="001B39C3" w:rsidRPr="001B39C3" w:rsidRDefault="001B39C3" w:rsidP="001B39C3">
      <w:pPr>
        <w:keepNext/>
        <w:outlineLvl w:val="1"/>
        <w:rPr>
          <w:rFonts w:ascii="Arial" w:hAnsi="Arial" w:cs="Arial"/>
          <w:b/>
          <w:szCs w:val="32"/>
        </w:rPr>
      </w:pPr>
      <w:r w:rsidRPr="001B39C3">
        <w:rPr>
          <w:rFonts w:ascii="Arial" w:hAnsi="Arial" w:cs="Arial"/>
          <w:b/>
          <w:szCs w:val="32"/>
        </w:rPr>
        <w:t>Washington Weatherization Program Cost-Benefit Analysis</w:t>
      </w:r>
    </w:p>
    <w:p w:rsidR="001B39C3" w:rsidRDefault="001B39C3" w:rsidP="001B39C3">
      <w:pPr>
        <w:keepNext/>
        <w:outlineLvl w:val="1"/>
        <w:rPr>
          <w:rFonts w:ascii="Arial" w:hAnsi="Arial" w:cs="Arial"/>
          <w:b/>
          <w:szCs w:val="20"/>
        </w:rPr>
      </w:pPr>
    </w:p>
    <w:p w:rsidR="001B39C3" w:rsidRDefault="001B39C3" w:rsidP="001B39C3">
      <w:pPr>
        <w:keepNext/>
        <w:outlineLvl w:val="1"/>
        <w:rPr>
          <w:szCs w:val="20"/>
        </w:rPr>
      </w:pPr>
      <w:r>
        <w:rPr>
          <w:szCs w:val="20"/>
        </w:rPr>
        <w:t xml:space="preserve">The </w:t>
      </w:r>
      <w:r w:rsidRPr="001F17EC">
        <w:rPr>
          <w:szCs w:val="20"/>
        </w:rPr>
        <w:t>Washington State University En</w:t>
      </w:r>
      <w:r>
        <w:rPr>
          <w:szCs w:val="20"/>
        </w:rPr>
        <w:t xml:space="preserve">ergy Program (WSU) completed a preliminary analysis of the benefits and costs for the </w:t>
      </w:r>
      <w:r w:rsidRPr="001F17EC">
        <w:rPr>
          <w:szCs w:val="20"/>
        </w:rPr>
        <w:t xml:space="preserve">Washington State Low-Income Weatherization Program for </w:t>
      </w:r>
      <w:r>
        <w:rPr>
          <w:szCs w:val="20"/>
        </w:rPr>
        <w:t xml:space="preserve">units weatherized from </w:t>
      </w:r>
      <w:r w:rsidRPr="001F17EC">
        <w:rPr>
          <w:szCs w:val="20"/>
        </w:rPr>
        <w:t>July 20</w:t>
      </w:r>
      <w:r>
        <w:rPr>
          <w:szCs w:val="20"/>
        </w:rPr>
        <w:t xml:space="preserve">15 through </w:t>
      </w:r>
      <w:r w:rsidRPr="001F17EC">
        <w:rPr>
          <w:szCs w:val="20"/>
        </w:rPr>
        <w:t>June 201</w:t>
      </w:r>
      <w:r>
        <w:rPr>
          <w:szCs w:val="20"/>
        </w:rPr>
        <w:t>6</w:t>
      </w:r>
      <w:r w:rsidRPr="001F17EC">
        <w:rPr>
          <w:szCs w:val="20"/>
        </w:rPr>
        <w:t xml:space="preserve"> (FY201</w:t>
      </w:r>
      <w:r>
        <w:rPr>
          <w:szCs w:val="20"/>
        </w:rPr>
        <w:t xml:space="preserve">6). This analysis is based on information from </w:t>
      </w:r>
      <w:r>
        <w:t>the Weatherization Information Data System (</w:t>
      </w:r>
      <w:r w:rsidRPr="00D9312F">
        <w:t>WIDS</w:t>
      </w:r>
      <w:r>
        <w:t>).</w:t>
      </w:r>
    </w:p>
    <w:p w:rsidR="001B39C3" w:rsidRDefault="001B39C3" w:rsidP="001B39C3">
      <w:pPr>
        <w:keepNext/>
        <w:outlineLvl w:val="1"/>
        <w:rPr>
          <w:szCs w:val="20"/>
        </w:rPr>
      </w:pPr>
    </w:p>
    <w:p w:rsidR="001B39C3" w:rsidRDefault="001B39C3" w:rsidP="001B39C3">
      <w:pPr>
        <w:rPr>
          <w:szCs w:val="20"/>
        </w:rPr>
      </w:pPr>
      <w:r w:rsidRPr="001F17EC">
        <w:rPr>
          <w:szCs w:val="20"/>
        </w:rPr>
        <w:t>Since 2010, the Department of Commerce collects local agency weatherization project data in an online data system. Weatherization agencies use WIDS to report detailed information about all single and multi-family projects weatherized statewide. WIDS also includes an inspection module that is used to improve the efficiency and effectiveness of Commerce monitoring and inspection activities. These efforts contribute to maintaining and improving program performance and cost-effectiveness.</w:t>
      </w:r>
      <w:r w:rsidRPr="001F17EC" w:rsidDel="00A63CA7">
        <w:rPr>
          <w:szCs w:val="20"/>
        </w:rPr>
        <w:t xml:space="preserve"> </w:t>
      </w:r>
    </w:p>
    <w:p w:rsidR="001B39C3" w:rsidRDefault="001B39C3" w:rsidP="001B39C3">
      <w:pPr>
        <w:keepNext/>
        <w:outlineLvl w:val="1"/>
        <w:rPr>
          <w:rFonts w:ascii="Arial" w:hAnsi="Arial" w:cs="Arial"/>
          <w:b/>
          <w:szCs w:val="20"/>
        </w:rPr>
      </w:pPr>
    </w:p>
    <w:p w:rsidR="001B39C3" w:rsidRPr="001F17EC" w:rsidRDefault="001B39C3" w:rsidP="001B39C3">
      <w:pPr>
        <w:keepNext/>
        <w:outlineLvl w:val="1"/>
        <w:rPr>
          <w:rFonts w:ascii="Arial" w:hAnsi="Arial" w:cs="Arial"/>
          <w:b/>
          <w:szCs w:val="20"/>
        </w:rPr>
      </w:pPr>
      <w:r w:rsidRPr="001F17EC">
        <w:rPr>
          <w:rFonts w:ascii="Arial" w:hAnsi="Arial" w:cs="Arial"/>
          <w:b/>
          <w:szCs w:val="20"/>
        </w:rPr>
        <w:t xml:space="preserve">Program Benefits </w:t>
      </w:r>
    </w:p>
    <w:p w:rsidR="001B39C3" w:rsidRPr="001F17EC" w:rsidRDefault="001B39C3" w:rsidP="001B39C3"/>
    <w:p w:rsidR="001B39C3" w:rsidRPr="001F17EC" w:rsidRDefault="001B39C3" w:rsidP="001B39C3">
      <w:r w:rsidRPr="001F17EC">
        <w:rPr>
          <w:noProof/>
        </w:rPr>
        <w:t xml:space="preserve">Washington’s Weatherization Program </w:t>
      </w:r>
      <w:r w:rsidRPr="001F17EC">
        <w:t xml:space="preserve">installed weatherization measures in </w:t>
      </w:r>
      <w:r>
        <w:t>1,994</w:t>
      </w:r>
      <w:r w:rsidRPr="001F17EC">
        <w:t xml:space="preserve"> units </w:t>
      </w:r>
      <w:r>
        <w:t>in FY2016</w:t>
      </w:r>
      <w:r w:rsidRPr="001F17EC">
        <w:t xml:space="preserve">. These installed measures produced </w:t>
      </w:r>
      <w:r w:rsidRPr="001F17EC">
        <w:rPr>
          <w:noProof/>
        </w:rPr>
        <w:t xml:space="preserve">energy savings of </w:t>
      </w:r>
      <w:r>
        <w:rPr>
          <w:noProof/>
        </w:rPr>
        <w:t>24</w:t>
      </w:r>
      <w:r w:rsidRPr="001F17EC">
        <w:rPr>
          <w:noProof/>
        </w:rPr>
        <w:t>,</w:t>
      </w:r>
      <w:r>
        <w:rPr>
          <w:noProof/>
        </w:rPr>
        <w:t>171</w:t>
      </w:r>
      <w:r w:rsidRPr="001F17EC">
        <w:rPr>
          <w:noProof/>
        </w:rPr>
        <w:t xml:space="preserve"> Million British Thermal Units (MBTUs) and </w:t>
      </w:r>
      <w:r w:rsidRPr="001F17EC">
        <w:t>are</w:t>
      </w:r>
      <w:r>
        <w:t xml:space="preserve"> estimated to save households $530,097</w:t>
      </w:r>
      <w:r w:rsidRPr="001F17EC">
        <w:t xml:space="preserve"> per year in energy costs</w:t>
      </w:r>
      <w:r>
        <w:t xml:space="preserve"> ($266/unit/year)</w:t>
      </w:r>
      <w:r w:rsidRPr="001F17EC">
        <w:t xml:space="preserve">. </w:t>
      </w:r>
      <w:r>
        <w:t>E</w:t>
      </w:r>
      <w:r w:rsidRPr="001F17EC">
        <w:t xml:space="preserve">nergy savings will accrue each year during the lifetimes of the energy measures, </w:t>
      </w:r>
      <w:r>
        <w:t xml:space="preserve">more than </w:t>
      </w:r>
      <w:r w:rsidRPr="001F17EC">
        <w:t xml:space="preserve">30 years for insulation measures. </w:t>
      </w:r>
      <w:r w:rsidRPr="001F17EC">
        <w:rPr>
          <w:noProof/>
        </w:rPr>
        <w:t xml:space="preserve"> </w:t>
      </w:r>
    </w:p>
    <w:p w:rsidR="001B39C3" w:rsidRPr="001F17EC" w:rsidRDefault="001B39C3" w:rsidP="001B39C3">
      <w:pPr>
        <w:rPr>
          <w:highlight w:val="yellow"/>
        </w:rPr>
      </w:pPr>
    </w:p>
    <w:p w:rsidR="001B39C3" w:rsidRDefault="001B39C3" w:rsidP="001B39C3">
      <w:r w:rsidRPr="001F17EC">
        <w:t>The Weatherization Program provides “non-energy” benefits as well; these benefits accrue to utilities and ratepayers (mostly due to reductions in delinquent bills), participants (improved comfort, health, property value, etc.), and society (benefits to the economy and emissions reductions). Non-energy benefits are estimated to be $</w:t>
      </w:r>
      <w:r>
        <w:t>202</w:t>
      </w:r>
      <w:r w:rsidRPr="001F17EC">
        <w:t xml:space="preserve"> per year per household</w:t>
      </w:r>
      <w:r>
        <w:t xml:space="preserve"> - </w:t>
      </w:r>
      <w:r w:rsidRPr="001F17EC">
        <w:t xml:space="preserve">a total of </w:t>
      </w:r>
      <w:r>
        <w:t xml:space="preserve">approximately </w:t>
      </w:r>
      <w:r w:rsidRPr="001F17EC">
        <w:t>$</w:t>
      </w:r>
      <w:r>
        <w:t>403,376 per year for all weatherized households</w:t>
      </w:r>
      <w:r w:rsidRPr="001F17EC">
        <w:t xml:space="preserve">. </w:t>
      </w:r>
    </w:p>
    <w:p w:rsidR="001B39C3" w:rsidRPr="00F02F35" w:rsidRDefault="001B39C3" w:rsidP="001B39C3"/>
    <w:p w:rsidR="001B39C3" w:rsidRPr="00F02F35" w:rsidRDefault="001B39C3" w:rsidP="001B39C3">
      <w:pPr>
        <w:ind w:left="58"/>
      </w:pPr>
      <w:r w:rsidRPr="00F02F35">
        <w:t>Total annual benefits per household (unit) were estimated to be $</w:t>
      </w:r>
      <w:r>
        <w:t>468.</w:t>
      </w:r>
      <w:r w:rsidRPr="00F02F35">
        <w:t xml:space="preserve"> Energy benefits accounted for a little </w:t>
      </w:r>
      <w:r>
        <w:t xml:space="preserve">more </w:t>
      </w:r>
      <w:r w:rsidRPr="00F02F35">
        <w:t>than half of this total. The other benefits (non-energy) comprised a significant portion of the estimated benefit, and additional benefits could also be considered, such as preservation of low-income housing. While we believe these estimates are reasonable, there is uncertainty in our analysis, particularly for non-energy benefits, which are difficult to measure. Analytical and accuracy issues are involved, but the key question is really one of policy: which benefits are important and should be included.</w:t>
      </w:r>
    </w:p>
    <w:p w:rsidR="001B39C3" w:rsidRDefault="001B39C3" w:rsidP="001B39C3"/>
    <w:p w:rsidR="001B39C3" w:rsidRPr="001F17EC" w:rsidRDefault="001B39C3" w:rsidP="001B39C3">
      <w:pPr>
        <w:keepNext/>
        <w:outlineLvl w:val="1"/>
        <w:rPr>
          <w:rFonts w:ascii="Arial" w:hAnsi="Arial" w:cs="Arial"/>
          <w:b/>
          <w:szCs w:val="20"/>
        </w:rPr>
      </w:pPr>
      <w:r w:rsidRPr="001F17EC">
        <w:rPr>
          <w:rFonts w:ascii="Arial" w:hAnsi="Arial" w:cs="Arial"/>
          <w:b/>
          <w:szCs w:val="20"/>
        </w:rPr>
        <w:t xml:space="preserve">Program </w:t>
      </w:r>
      <w:r>
        <w:rPr>
          <w:rFonts w:ascii="Arial" w:hAnsi="Arial" w:cs="Arial"/>
          <w:b/>
          <w:szCs w:val="20"/>
        </w:rPr>
        <w:t>Cost</w:t>
      </w:r>
      <w:r w:rsidRPr="001F17EC">
        <w:rPr>
          <w:rFonts w:ascii="Arial" w:hAnsi="Arial" w:cs="Arial"/>
          <w:b/>
          <w:szCs w:val="20"/>
        </w:rPr>
        <w:t xml:space="preserve">s </w:t>
      </w:r>
    </w:p>
    <w:p w:rsidR="001B39C3" w:rsidRDefault="001B39C3" w:rsidP="001B39C3"/>
    <w:p w:rsidR="001B39C3" w:rsidRPr="00D9312F" w:rsidRDefault="001B39C3" w:rsidP="001B39C3">
      <w:r w:rsidRPr="00D9312F">
        <w:t>Direct unit costs</w:t>
      </w:r>
      <w:r w:rsidRPr="00D9312F">
        <w:rPr>
          <w:rStyle w:val="FootnoteReference"/>
        </w:rPr>
        <w:footnoteReference w:id="1"/>
      </w:r>
      <w:r w:rsidRPr="00D9312F">
        <w:t xml:space="preserve"> were reported by local agencies in WIDS for the </w:t>
      </w:r>
      <w:r>
        <w:t>1,994</w:t>
      </w:r>
      <w:r w:rsidRPr="00D9312F">
        <w:t xml:space="preserve"> projects completed in </w:t>
      </w:r>
      <w:r>
        <w:t>FY2016</w:t>
      </w:r>
      <w:r w:rsidRPr="00D9312F">
        <w:t xml:space="preserve">. </w:t>
      </w:r>
      <w:r>
        <w:t>A</w:t>
      </w:r>
      <w:r w:rsidRPr="00D9312F">
        <w:t>verage direct unit cost</w:t>
      </w:r>
      <w:r>
        <w:t>s vary by agency and type of unit.</w:t>
      </w:r>
      <w:r w:rsidRPr="00D9312F">
        <w:t xml:space="preserve"> The average state-wide </w:t>
      </w:r>
      <w:r>
        <w:t xml:space="preserve">direct </w:t>
      </w:r>
      <w:r w:rsidRPr="00D9312F">
        <w:t>unit cost was $</w:t>
      </w:r>
      <w:r>
        <w:t xml:space="preserve">8,033. </w:t>
      </w:r>
      <w:r w:rsidRPr="00D9312F">
        <w:t xml:space="preserve">To determine total unit costs, </w:t>
      </w:r>
      <w:r w:rsidR="00732E13">
        <w:t>p</w:t>
      </w:r>
      <w:r w:rsidRPr="00D9312F">
        <w:t xml:space="preserve">rogram administration and other operations expenses need to be added to the direct project unit costs. </w:t>
      </w:r>
      <w:r>
        <w:t>For the purposes of this preliminary</w:t>
      </w:r>
      <w:r w:rsidRPr="00D9312F">
        <w:t xml:space="preserve"> </w:t>
      </w:r>
      <w:r>
        <w:t xml:space="preserve">analysis, administration and other expenses from a 2011 evaluation were used ($2,600/unit). </w:t>
      </w:r>
      <w:r w:rsidRPr="00D9312F">
        <w:t xml:space="preserve">The estimated total weatherization cost </w:t>
      </w:r>
      <w:r>
        <w:t>wa</w:t>
      </w:r>
      <w:r w:rsidRPr="00D9312F">
        <w:t>s $</w:t>
      </w:r>
      <w:r>
        <w:t>10,633</w:t>
      </w:r>
      <w:r w:rsidRPr="00D9312F">
        <w:t xml:space="preserve"> per unit.</w:t>
      </w:r>
    </w:p>
    <w:p w:rsidR="001B39C3" w:rsidRDefault="001B39C3" w:rsidP="001B39C3">
      <w:pPr>
        <w:keepNext/>
        <w:outlineLvl w:val="1"/>
        <w:rPr>
          <w:rFonts w:ascii="Arial" w:hAnsi="Arial" w:cs="Arial"/>
          <w:b/>
          <w:szCs w:val="20"/>
        </w:rPr>
      </w:pPr>
    </w:p>
    <w:p w:rsidR="001B39C3" w:rsidRPr="001F17EC" w:rsidRDefault="001B39C3" w:rsidP="001B39C3">
      <w:pPr>
        <w:keepNext/>
        <w:outlineLvl w:val="1"/>
        <w:rPr>
          <w:rFonts w:ascii="Arial" w:hAnsi="Arial" w:cs="Arial"/>
          <w:b/>
          <w:szCs w:val="20"/>
        </w:rPr>
      </w:pPr>
      <w:r w:rsidRPr="001F17EC">
        <w:rPr>
          <w:rFonts w:ascii="Arial" w:hAnsi="Arial" w:cs="Arial"/>
          <w:b/>
          <w:szCs w:val="20"/>
        </w:rPr>
        <w:t xml:space="preserve">Cost Effectiveness </w:t>
      </w:r>
    </w:p>
    <w:p w:rsidR="001B39C3" w:rsidRDefault="001B39C3" w:rsidP="001B39C3">
      <w:pPr>
        <w:rPr>
          <w:szCs w:val="20"/>
        </w:rPr>
      </w:pPr>
    </w:p>
    <w:p w:rsidR="001B39C3" w:rsidRPr="001F17EC" w:rsidRDefault="001B39C3" w:rsidP="001B39C3">
      <w:pPr>
        <w:rPr>
          <w:szCs w:val="20"/>
        </w:rPr>
      </w:pPr>
      <w:r>
        <w:rPr>
          <w:szCs w:val="20"/>
        </w:rPr>
        <w:t xml:space="preserve">Program cost effectiveness is based on the benefits and costs per unit over the lifetime of the weatherization measures. </w:t>
      </w:r>
    </w:p>
    <w:p w:rsidR="001B39C3" w:rsidRPr="001F17EC" w:rsidRDefault="001B39C3" w:rsidP="001B39C3">
      <w:pPr>
        <w:rPr>
          <w:szCs w:val="20"/>
        </w:rPr>
      </w:pPr>
    </w:p>
    <w:p w:rsidR="001B39C3" w:rsidRPr="001F17EC" w:rsidRDefault="001B39C3" w:rsidP="001B39C3">
      <w:pPr>
        <w:numPr>
          <w:ilvl w:val="0"/>
          <w:numId w:val="7"/>
        </w:numPr>
        <w:rPr>
          <w:szCs w:val="20"/>
        </w:rPr>
      </w:pPr>
      <w:r w:rsidRPr="001F17EC">
        <w:rPr>
          <w:szCs w:val="20"/>
        </w:rPr>
        <w:t>The average household saved $</w:t>
      </w:r>
      <w:r>
        <w:rPr>
          <w:szCs w:val="20"/>
        </w:rPr>
        <w:t>266</w:t>
      </w:r>
      <w:r w:rsidRPr="001F17EC">
        <w:rPr>
          <w:szCs w:val="20"/>
        </w:rPr>
        <w:t xml:space="preserve"> per year in energy costs.</w:t>
      </w:r>
      <w:r>
        <w:rPr>
          <w:szCs w:val="20"/>
        </w:rPr>
        <w:t xml:space="preserve">  This ranged from $117/unit for large multi-family to $337 and $357 unit for site built and manufactured housing.</w:t>
      </w:r>
    </w:p>
    <w:p w:rsidR="001B39C3" w:rsidRDefault="001B39C3" w:rsidP="001B39C3">
      <w:pPr>
        <w:ind w:left="360"/>
        <w:rPr>
          <w:szCs w:val="20"/>
        </w:rPr>
      </w:pPr>
    </w:p>
    <w:p w:rsidR="001B39C3" w:rsidRPr="001F17EC" w:rsidRDefault="001B39C3" w:rsidP="001B39C3">
      <w:pPr>
        <w:numPr>
          <w:ilvl w:val="0"/>
          <w:numId w:val="7"/>
        </w:numPr>
        <w:rPr>
          <w:szCs w:val="20"/>
        </w:rPr>
      </w:pPr>
      <w:r w:rsidRPr="001F17EC">
        <w:rPr>
          <w:szCs w:val="20"/>
        </w:rPr>
        <w:t>Other utility, househol</w:t>
      </w:r>
      <w:r>
        <w:rPr>
          <w:szCs w:val="20"/>
        </w:rPr>
        <w:t>d, and societal benefits were $202</w:t>
      </w:r>
      <w:r w:rsidRPr="001F17EC">
        <w:rPr>
          <w:szCs w:val="20"/>
        </w:rPr>
        <w:t xml:space="preserve"> per year per household.</w:t>
      </w:r>
      <w:r>
        <w:rPr>
          <w:szCs w:val="20"/>
        </w:rPr>
        <w:t xml:space="preserve"> These are very conservative estimates developed and used by utilities in 2006 to 2012.  More recent evidence suggest that non-energy benefits may be an order of magnitude greater.</w:t>
      </w:r>
    </w:p>
    <w:p w:rsidR="001B39C3" w:rsidRDefault="001B39C3" w:rsidP="001B39C3">
      <w:pPr>
        <w:ind w:left="720"/>
        <w:rPr>
          <w:szCs w:val="20"/>
        </w:rPr>
      </w:pPr>
    </w:p>
    <w:p w:rsidR="001B39C3" w:rsidRPr="001F17EC" w:rsidRDefault="001B39C3" w:rsidP="001B39C3">
      <w:pPr>
        <w:numPr>
          <w:ilvl w:val="0"/>
          <w:numId w:val="7"/>
        </w:numPr>
        <w:rPr>
          <w:szCs w:val="20"/>
        </w:rPr>
      </w:pPr>
      <w:r w:rsidRPr="001F17EC">
        <w:rPr>
          <w:szCs w:val="20"/>
        </w:rPr>
        <w:t>The average direct unit cost was $</w:t>
      </w:r>
      <w:r>
        <w:rPr>
          <w:szCs w:val="20"/>
        </w:rPr>
        <w:t>8033</w:t>
      </w:r>
      <w:r w:rsidRPr="001F17EC">
        <w:rPr>
          <w:szCs w:val="20"/>
        </w:rPr>
        <w:t xml:space="preserve"> an</w:t>
      </w:r>
      <w:r>
        <w:rPr>
          <w:szCs w:val="20"/>
        </w:rPr>
        <w:t>d total program unit cost including estimated agency and Commerce program delivery and administration costs was $10,633</w:t>
      </w:r>
      <w:r w:rsidRPr="001F17EC">
        <w:rPr>
          <w:szCs w:val="20"/>
        </w:rPr>
        <w:t xml:space="preserve"> (this includes all costs).</w:t>
      </w:r>
    </w:p>
    <w:p w:rsidR="001B39C3" w:rsidRPr="001F17EC" w:rsidRDefault="001B39C3" w:rsidP="001B39C3">
      <w:pPr>
        <w:rPr>
          <w:szCs w:val="20"/>
        </w:rPr>
      </w:pPr>
    </w:p>
    <w:p w:rsidR="001B39C3" w:rsidRPr="001F17EC" w:rsidRDefault="001B39C3" w:rsidP="001B39C3">
      <w:pPr>
        <w:rPr>
          <w:b/>
          <w:noProof/>
          <w:szCs w:val="20"/>
        </w:rPr>
      </w:pPr>
      <w:r>
        <w:rPr>
          <w:szCs w:val="20"/>
        </w:rPr>
        <w:t xml:space="preserve">The results of the preliminary cost effectiveness analysis are summarized </w:t>
      </w:r>
      <w:r w:rsidRPr="001F17EC">
        <w:rPr>
          <w:szCs w:val="20"/>
        </w:rPr>
        <w:t>in Table E.1.</w:t>
      </w:r>
      <w:r>
        <w:rPr>
          <w:szCs w:val="20"/>
        </w:rPr>
        <w:t xml:space="preserve"> The </w:t>
      </w:r>
      <w:r w:rsidRPr="001F17EC">
        <w:rPr>
          <w:szCs w:val="20"/>
        </w:rPr>
        <w:t xml:space="preserve">benefit-cost ratio for the Weatherization Program </w:t>
      </w:r>
      <w:r>
        <w:rPr>
          <w:szCs w:val="20"/>
        </w:rPr>
        <w:t>wa</w:t>
      </w:r>
      <w:r w:rsidRPr="001F17EC">
        <w:rPr>
          <w:szCs w:val="20"/>
        </w:rPr>
        <w:t>s 1.</w:t>
      </w:r>
      <w:r>
        <w:rPr>
          <w:szCs w:val="20"/>
        </w:rPr>
        <w:t>2</w:t>
      </w:r>
      <w:r w:rsidRPr="001F17EC">
        <w:rPr>
          <w:szCs w:val="20"/>
        </w:rPr>
        <w:t xml:space="preserve"> for the mid-range scenario</w:t>
      </w:r>
      <w:r>
        <w:rPr>
          <w:szCs w:val="20"/>
        </w:rPr>
        <w:t xml:space="preserve"> for FY2016</w:t>
      </w:r>
      <w:r w:rsidRPr="001F17EC">
        <w:rPr>
          <w:szCs w:val="20"/>
        </w:rPr>
        <w:t xml:space="preserve">. Program benefits </w:t>
      </w:r>
      <w:r>
        <w:rPr>
          <w:szCs w:val="20"/>
        </w:rPr>
        <w:t>we</w:t>
      </w:r>
      <w:r w:rsidRPr="001F17EC">
        <w:rPr>
          <w:szCs w:val="20"/>
        </w:rPr>
        <w:t xml:space="preserve">re </w:t>
      </w:r>
      <w:r>
        <w:rPr>
          <w:szCs w:val="20"/>
        </w:rPr>
        <w:t>2</w:t>
      </w:r>
      <w:r w:rsidRPr="001F17EC">
        <w:rPr>
          <w:szCs w:val="20"/>
        </w:rPr>
        <w:t>0 percent greater than costs. The benefit-cost ratio range</w:t>
      </w:r>
      <w:r>
        <w:rPr>
          <w:szCs w:val="20"/>
        </w:rPr>
        <w:t>d</w:t>
      </w:r>
      <w:r w:rsidRPr="001F17EC">
        <w:rPr>
          <w:szCs w:val="20"/>
        </w:rPr>
        <w:t xml:space="preserve"> from 0.</w:t>
      </w:r>
      <w:r>
        <w:rPr>
          <w:szCs w:val="20"/>
        </w:rPr>
        <w:t>6</w:t>
      </w:r>
      <w:r w:rsidRPr="001F17EC">
        <w:rPr>
          <w:szCs w:val="20"/>
        </w:rPr>
        <w:t xml:space="preserve"> to </w:t>
      </w:r>
      <w:r>
        <w:rPr>
          <w:szCs w:val="20"/>
        </w:rPr>
        <w:t>1.9</w:t>
      </w:r>
      <w:r w:rsidRPr="001F17EC">
        <w:rPr>
          <w:szCs w:val="20"/>
        </w:rPr>
        <w:t xml:space="preserve"> for the </w:t>
      </w:r>
      <w:r>
        <w:rPr>
          <w:szCs w:val="20"/>
        </w:rPr>
        <w:t xml:space="preserve">low and high </w:t>
      </w:r>
      <w:r w:rsidRPr="001F17EC">
        <w:rPr>
          <w:szCs w:val="20"/>
        </w:rPr>
        <w:t>scenarios.</w:t>
      </w:r>
      <w:r>
        <w:rPr>
          <w:rStyle w:val="FootnoteReference"/>
          <w:szCs w:val="20"/>
        </w:rPr>
        <w:footnoteReference w:id="2"/>
      </w:r>
      <w:r w:rsidRPr="001F17EC">
        <w:rPr>
          <w:szCs w:val="20"/>
        </w:rPr>
        <w:t xml:space="preserve"> This suggests that Total Program Benefits exceed</w:t>
      </w:r>
      <w:r>
        <w:rPr>
          <w:szCs w:val="20"/>
        </w:rPr>
        <w:t>ed</w:t>
      </w:r>
      <w:r w:rsidRPr="001F17EC">
        <w:rPr>
          <w:szCs w:val="20"/>
        </w:rPr>
        <w:t xml:space="preserve"> Total Program Costs</w:t>
      </w:r>
      <w:r>
        <w:rPr>
          <w:szCs w:val="20"/>
        </w:rPr>
        <w:t xml:space="preserve"> for FY2016</w:t>
      </w:r>
      <w:r w:rsidRPr="001F17EC">
        <w:rPr>
          <w:szCs w:val="20"/>
        </w:rPr>
        <w:t xml:space="preserve">. </w:t>
      </w:r>
      <w:r>
        <w:rPr>
          <w:szCs w:val="20"/>
        </w:rPr>
        <w:t>Estimated benefit – cost ratio declined from FY 2015 (.7 to 2.0) because of increasing unit costs and an the use of a more accurate and conservative approach for estimating energy savings</w:t>
      </w:r>
    </w:p>
    <w:p w:rsidR="001B39C3" w:rsidRDefault="001B39C3" w:rsidP="001B39C3"/>
    <w:p w:rsidR="0022351F" w:rsidRDefault="0022351F" w:rsidP="001B39C3"/>
    <w:p w:rsidR="0022351F" w:rsidRDefault="0022351F" w:rsidP="001B39C3"/>
    <w:p w:rsidR="0022351F" w:rsidRPr="001F17EC" w:rsidRDefault="0022351F" w:rsidP="001B39C3"/>
    <w:p w:rsidR="001B39C3" w:rsidRPr="001F17EC" w:rsidRDefault="001B39C3" w:rsidP="001B39C3">
      <w:pPr>
        <w:rPr>
          <w:b/>
        </w:rPr>
      </w:pPr>
      <w:r w:rsidRPr="001F17EC">
        <w:rPr>
          <w:b/>
        </w:rPr>
        <w:t xml:space="preserve">Table E.1. </w:t>
      </w:r>
      <w:r>
        <w:rPr>
          <w:b/>
        </w:rPr>
        <w:t xml:space="preserve">Preliminary Estimated </w:t>
      </w:r>
      <w:r w:rsidRPr="001F17EC">
        <w:rPr>
          <w:b/>
        </w:rPr>
        <w:t>Weatherization Program Benefits and Costs (FY201</w:t>
      </w:r>
      <w:r>
        <w:rPr>
          <w:b/>
        </w:rPr>
        <w:t>5</w:t>
      </w:r>
      <w:r w:rsidRPr="001F17EC">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2095"/>
        <w:gridCol w:w="2095"/>
        <w:gridCol w:w="2095"/>
      </w:tblGrid>
      <w:tr w:rsidR="001B39C3" w:rsidRPr="001F17EC" w:rsidTr="00655B86">
        <w:trPr>
          <w:trHeight w:val="294"/>
        </w:trPr>
        <w:tc>
          <w:tcPr>
            <w:tcW w:w="2920" w:type="dxa"/>
            <w:shd w:val="clear" w:color="auto" w:fill="BFBFBF"/>
          </w:tcPr>
          <w:p w:rsidR="001B39C3" w:rsidRPr="001F17EC" w:rsidRDefault="001B39C3" w:rsidP="00655B86">
            <w:pPr>
              <w:jc w:val="center"/>
              <w:rPr>
                <w:b/>
              </w:rPr>
            </w:pPr>
            <w:r w:rsidRPr="001F17EC">
              <w:rPr>
                <w:b/>
              </w:rPr>
              <w:t>Present Value</w:t>
            </w:r>
            <w:r>
              <w:rPr>
                <w:b/>
              </w:rPr>
              <w:t>/Unit</w:t>
            </w:r>
          </w:p>
        </w:tc>
        <w:tc>
          <w:tcPr>
            <w:tcW w:w="2095" w:type="dxa"/>
            <w:shd w:val="clear" w:color="auto" w:fill="BFBFBF"/>
          </w:tcPr>
          <w:p w:rsidR="001B39C3" w:rsidRPr="001F17EC" w:rsidRDefault="001B39C3" w:rsidP="00655B86">
            <w:pPr>
              <w:jc w:val="center"/>
              <w:rPr>
                <w:b/>
              </w:rPr>
            </w:pPr>
            <w:r w:rsidRPr="001F17EC">
              <w:rPr>
                <w:b/>
              </w:rPr>
              <w:t>Mid</w:t>
            </w:r>
          </w:p>
        </w:tc>
        <w:tc>
          <w:tcPr>
            <w:tcW w:w="2095" w:type="dxa"/>
            <w:shd w:val="clear" w:color="auto" w:fill="BFBFBF"/>
          </w:tcPr>
          <w:p w:rsidR="001B39C3" w:rsidRPr="001F17EC" w:rsidRDefault="001B39C3" w:rsidP="00655B86">
            <w:pPr>
              <w:jc w:val="center"/>
              <w:rPr>
                <w:b/>
              </w:rPr>
            </w:pPr>
            <w:r w:rsidRPr="001F17EC">
              <w:rPr>
                <w:b/>
              </w:rPr>
              <w:t>Low</w:t>
            </w:r>
          </w:p>
        </w:tc>
        <w:tc>
          <w:tcPr>
            <w:tcW w:w="2095" w:type="dxa"/>
            <w:shd w:val="clear" w:color="auto" w:fill="BFBFBF"/>
          </w:tcPr>
          <w:p w:rsidR="001B39C3" w:rsidRPr="001F17EC" w:rsidRDefault="001B39C3" w:rsidP="00655B86">
            <w:pPr>
              <w:jc w:val="center"/>
              <w:rPr>
                <w:b/>
              </w:rPr>
            </w:pPr>
            <w:r w:rsidRPr="001F17EC">
              <w:rPr>
                <w:b/>
              </w:rPr>
              <w:t>High</w:t>
            </w:r>
          </w:p>
        </w:tc>
      </w:tr>
      <w:tr w:rsidR="001B39C3" w:rsidRPr="001F17EC" w:rsidTr="00655B86">
        <w:trPr>
          <w:trHeight w:val="310"/>
        </w:trPr>
        <w:tc>
          <w:tcPr>
            <w:tcW w:w="2920" w:type="dxa"/>
          </w:tcPr>
          <w:p w:rsidR="001B39C3" w:rsidRPr="001F17EC" w:rsidRDefault="001B39C3" w:rsidP="00655B86">
            <w:r w:rsidRPr="001F17EC">
              <w:t>Emissions Benefit</w:t>
            </w:r>
          </w:p>
        </w:tc>
        <w:tc>
          <w:tcPr>
            <w:tcW w:w="2095" w:type="dxa"/>
            <w:vAlign w:val="bottom"/>
          </w:tcPr>
          <w:p w:rsidR="001B39C3" w:rsidRPr="00E5085A" w:rsidRDefault="001B39C3" w:rsidP="00655B86">
            <w:pPr>
              <w:jc w:val="right"/>
              <w:rPr>
                <w:color w:val="000000"/>
              </w:rPr>
            </w:pPr>
            <w:r w:rsidRPr="00E5085A">
              <w:rPr>
                <w:color w:val="000000"/>
              </w:rPr>
              <w:t>$</w:t>
            </w:r>
            <w:r>
              <w:rPr>
                <w:color w:val="000000"/>
              </w:rPr>
              <w:t>734</w:t>
            </w:r>
            <w:r w:rsidRPr="00E5085A">
              <w:rPr>
                <w:color w:val="000000"/>
              </w:rPr>
              <w:t xml:space="preserve"> </w:t>
            </w:r>
          </w:p>
        </w:tc>
        <w:tc>
          <w:tcPr>
            <w:tcW w:w="2095" w:type="dxa"/>
            <w:vAlign w:val="bottom"/>
          </w:tcPr>
          <w:p w:rsidR="001B39C3" w:rsidRPr="00E5085A" w:rsidRDefault="001B39C3" w:rsidP="00655B86">
            <w:pPr>
              <w:jc w:val="right"/>
              <w:rPr>
                <w:color w:val="000000"/>
              </w:rPr>
            </w:pPr>
            <w:r>
              <w:rPr>
                <w:color w:val="000000"/>
              </w:rPr>
              <w:t>$566</w:t>
            </w:r>
          </w:p>
        </w:tc>
        <w:tc>
          <w:tcPr>
            <w:tcW w:w="2095" w:type="dxa"/>
            <w:vAlign w:val="bottom"/>
          </w:tcPr>
          <w:p w:rsidR="001B39C3" w:rsidRPr="00E5085A" w:rsidRDefault="001B39C3" w:rsidP="00655B86">
            <w:pPr>
              <w:jc w:val="right"/>
              <w:rPr>
                <w:color w:val="000000"/>
              </w:rPr>
            </w:pPr>
            <w:r>
              <w:rPr>
                <w:color w:val="000000"/>
              </w:rPr>
              <w:t>-*</w:t>
            </w:r>
            <w:r w:rsidRPr="00E5085A">
              <w:rPr>
                <w:color w:val="000000"/>
              </w:rPr>
              <w:t xml:space="preserve"> </w:t>
            </w:r>
          </w:p>
        </w:tc>
      </w:tr>
      <w:tr w:rsidR="001B39C3" w:rsidRPr="001F17EC" w:rsidTr="00655B86">
        <w:trPr>
          <w:trHeight w:val="310"/>
        </w:trPr>
        <w:tc>
          <w:tcPr>
            <w:tcW w:w="2920" w:type="dxa"/>
          </w:tcPr>
          <w:p w:rsidR="001B39C3" w:rsidRPr="001F17EC" w:rsidRDefault="001B39C3" w:rsidP="00655B86">
            <w:r w:rsidRPr="001F17EC">
              <w:t>Economic Benefit</w:t>
            </w:r>
          </w:p>
        </w:tc>
        <w:tc>
          <w:tcPr>
            <w:tcW w:w="2095" w:type="dxa"/>
            <w:vAlign w:val="bottom"/>
          </w:tcPr>
          <w:p w:rsidR="001B39C3" w:rsidRPr="00E5085A" w:rsidRDefault="001B39C3" w:rsidP="00655B86">
            <w:pPr>
              <w:jc w:val="right"/>
              <w:rPr>
                <w:color w:val="000000"/>
              </w:rPr>
            </w:pPr>
            <w:r w:rsidRPr="00E5085A">
              <w:rPr>
                <w:color w:val="000000"/>
              </w:rPr>
              <w:t>$1,31</w:t>
            </w:r>
            <w:r>
              <w:rPr>
                <w:color w:val="000000"/>
              </w:rPr>
              <w:t>3</w:t>
            </w:r>
            <w:r w:rsidRPr="00E5085A">
              <w:rPr>
                <w:color w:val="000000"/>
              </w:rPr>
              <w:t xml:space="preserve"> </w:t>
            </w:r>
          </w:p>
        </w:tc>
        <w:tc>
          <w:tcPr>
            <w:tcW w:w="2095" w:type="dxa"/>
            <w:vAlign w:val="bottom"/>
          </w:tcPr>
          <w:p w:rsidR="001B39C3" w:rsidRPr="00E5085A" w:rsidRDefault="001B39C3" w:rsidP="00655B86">
            <w:pPr>
              <w:jc w:val="right"/>
              <w:rPr>
                <w:color w:val="000000"/>
              </w:rPr>
            </w:pPr>
            <w:r w:rsidRPr="00E5085A">
              <w:rPr>
                <w:color w:val="000000"/>
              </w:rPr>
              <w:t>$</w:t>
            </w:r>
            <w:r>
              <w:rPr>
                <w:color w:val="000000"/>
              </w:rPr>
              <w:t>662</w:t>
            </w:r>
            <w:r w:rsidRPr="00E5085A">
              <w:rPr>
                <w:color w:val="000000"/>
              </w:rPr>
              <w:t xml:space="preserve"> </w:t>
            </w:r>
          </w:p>
        </w:tc>
        <w:tc>
          <w:tcPr>
            <w:tcW w:w="2095" w:type="dxa"/>
            <w:vAlign w:val="bottom"/>
          </w:tcPr>
          <w:p w:rsidR="001B39C3" w:rsidRPr="00E5085A" w:rsidRDefault="001B39C3" w:rsidP="00655B86">
            <w:pPr>
              <w:jc w:val="right"/>
              <w:rPr>
                <w:color w:val="000000"/>
              </w:rPr>
            </w:pPr>
            <w:r w:rsidRPr="00E5085A">
              <w:rPr>
                <w:color w:val="000000"/>
              </w:rPr>
              <w:t>$1,9</w:t>
            </w:r>
            <w:r>
              <w:rPr>
                <w:color w:val="000000"/>
              </w:rPr>
              <w:t>67</w:t>
            </w:r>
          </w:p>
        </w:tc>
      </w:tr>
      <w:tr w:rsidR="001B39C3" w:rsidRPr="001F17EC" w:rsidTr="00655B86">
        <w:trPr>
          <w:trHeight w:val="310"/>
        </w:trPr>
        <w:tc>
          <w:tcPr>
            <w:tcW w:w="2920" w:type="dxa"/>
          </w:tcPr>
          <w:p w:rsidR="001B39C3" w:rsidRPr="001F17EC" w:rsidRDefault="001B39C3" w:rsidP="00655B86">
            <w:r w:rsidRPr="001F17EC">
              <w:t>Utility Benefit</w:t>
            </w:r>
          </w:p>
        </w:tc>
        <w:tc>
          <w:tcPr>
            <w:tcW w:w="2095" w:type="dxa"/>
            <w:vAlign w:val="bottom"/>
          </w:tcPr>
          <w:p w:rsidR="001B39C3" w:rsidRPr="00E5085A" w:rsidRDefault="001B39C3" w:rsidP="00655B86">
            <w:pPr>
              <w:jc w:val="right"/>
              <w:rPr>
                <w:color w:val="000000"/>
              </w:rPr>
            </w:pPr>
            <w:r w:rsidRPr="00E5085A">
              <w:rPr>
                <w:color w:val="000000"/>
              </w:rPr>
              <w:t>$3</w:t>
            </w:r>
            <w:r>
              <w:rPr>
                <w:color w:val="000000"/>
              </w:rPr>
              <w:t>78</w:t>
            </w:r>
            <w:r w:rsidRPr="00E5085A">
              <w:rPr>
                <w:color w:val="000000"/>
              </w:rPr>
              <w:t xml:space="preserve"> </w:t>
            </w:r>
          </w:p>
        </w:tc>
        <w:tc>
          <w:tcPr>
            <w:tcW w:w="2095" w:type="dxa"/>
            <w:vAlign w:val="bottom"/>
          </w:tcPr>
          <w:p w:rsidR="001B39C3" w:rsidRPr="00E5085A" w:rsidRDefault="001B39C3" w:rsidP="00655B86">
            <w:pPr>
              <w:jc w:val="right"/>
              <w:rPr>
                <w:color w:val="000000"/>
              </w:rPr>
            </w:pPr>
            <w:r>
              <w:rPr>
                <w:color w:val="000000"/>
              </w:rPr>
              <w:t>$74</w:t>
            </w:r>
            <w:r w:rsidRPr="00E5085A">
              <w:rPr>
                <w:color w:val="000000"/>
              </w:rPr>
              <w:t xml:space="preserve"> </w:t>
            </w:r>
          </w:p>
        </w:tc>
        <w:tc>
          <w:tcPr>
            <w:tcW w:w="2095" w:type="dxa"/>
            <w:vAlign w:val="bottom"/>
          </w:tcPr>
          <w:p w:rsidR="001B39C3" w:rsidRPr="00E5085A" w:rsidRDefault="001B39C3" w:rsidP="00655B86">
            <w:pPr>
              <w:jc w:val="right"/>
              <w:rPr>
                <w:color w:val="000000"/>
              </w:rPr>
            </w:pPr>
            <w:r w:rsidRPr="00E5085A">
              <w:rPr>
                <w:color w:val="000000"/>
              </w:rPr>
              <w:t>$</w:t>
            </w:r>
            <w:r>
              <w:rPr>
                <w:color w:val="000000"/>
              </w:rPr>
              <w:t>839</w:t>
            </w:r>
          </w:p>
        </w:tc>
      </w:tr>
      <w:tr w:rsidR="001B39C3" w:rsidRPr="001F17EC" w:rsidTr="00655B86">
        <w:trPr>
          <w:trHeight w:val="332"/>
        </w:trPr>
        <w:tc>
          <w:tcPr>
            <w:tcW w:w="2920" w:type="dxa"/>
            <w:tcBorders>
              <w:bottom w:val="single" w:sz="4" w:space="0" w:color="auto"/>
            </w:tcBorders>
          </w:tcPr>
          <w:p w:rsidR="001B39C3" w:rsidRPr="001F17EC" w:rsidRDefault="001B39C3" w:rsidP="00655B86">
            <w:r w:rsidRPr="001F17EC">
              <w:t>Participant Benefit</w:t>
            </w:r>
          </w:p>
        </w:tc>
        <w:tc>
          <w:tcPr>
            <w:tcW w:w="2095" w:type="dxa"/>
            <w:tcBorders>
              <w:bottom w:val="single" w:sz="4" w:space="0" w:color="auto"/>
            </w:tcBorders>
            <w:vAlign w:val="bottom"/>
          </w:tcPr>
          <w:p w:rsidR="001B39C3" w:rsidRPr="00E5085A" w:rsidRDefault="001B39C3" w:rsidP="00655B86">
            <w:pPr>
              <w:jc w:val="right"/>
              <w:rPr>
                <w:color w:val="000000"/>
              </w:rPr>
            </w:pPr>
            <w:r w:rsidRPr="00E5085A">
              <w:rPr>
                <w:color w:val="000000"/>
              </w:rPr>
              <w:t>$2,</w:t>
            </w:r>
            <w:r>
              <w:rPr>
                <w:color w:val="000000"/>
              </w:rPr>
              <w:t>498</w:t>
            </w:r>
            <w:r w:rsidRPr="00E5085A">
              <w:rPr>
                <w:color w:val="000000"/>
              </w:rPr>
              <w:t xml:space="preserve"> </w:t>
            </w:r>
          </w:p>
        </w:tc>
        <w:tc>
          <w:tcPr>
            <w:tcW w:w="2095" w:type="dxa"/>
            <w:tcBorders>
              <w:bottom w:val="single" w:sz="4" w:space="0" w:color="auto"/>
            </w:tcBorders>
            <w:vAlign w:val="bottom"/>
          </w:tcPr>
          <w:p w:rsidR="001B39C3" w:rsidRPr="00E5085A" w:rsidRDefault="001B39C3" w:rsidP="00655B86">
            <w:pPr>
              <w:jc w:val="right"/>
              <w:rPr>
                <w:color w:val="000000"/>
              </w:rPr>
            </w:pPr>
            <w:r w:rsidRPr="00E5085A">
              <w:rPr>
                <w:color w:val="000000"/>
              </w:rPr>
              <w:t>$</w:t>
            </w:r>
            <w:r>
              <w:rPr>
                <w:color w:val="000000"/>
              </w:rPr>
              <w:t>890</w:t>
            </w:r>
          </w:p>
        </w:tc>
        <w:tc>
          <w:tcPr>
            <w:tcW w:w="2095" w:type="dxa"/>
            <w:tcBorders>
              <w:bottom w:val="single" w:sz="4" w:space="0" w:color="auto"/>
            </w:tcBorders>
            <w:vAlign w:val="bottom"/>
          </w:tcPr>
          <w:p w:rsidR="001B39C3" w:rsidRPr="00E5085A" w:rsidRDefault="001B39C3" w:rsidP="00655B86">
            <w:pPr>
              <w:jc w:val="right"/>
              <w:rPr>
                <w:color w:val="000000"/>
              </w:rPr>
            </w:pPr>
            <w:r>
              <w:rPr>
                <w:color w:val="000000"/>
              </w:rPr>
              <w:t>$5</w:t>
            </w:r>
            <w:r w:rsidRPr="00E5085A">
              <w:rPr>
                <w:color w:val="000000"/>
              </w:rPr>
              <w:t>,</w:t>
            </w:r>
            <w:r>
              <w:rPr>
                <w:color w:val="000000"/>
              </w:rPr>
              <w:t>713</w:t>
            </w:r>
            <w:r w:rsidRPr="00E5085A">
              <w:rPr>
                <w:color w:val="000000"/>
              </w:rPr>
              <w:t xml:space="preserve"> </w:t>
            </w:r>
          </w:p>
        </w:tc>
      </w:tr>
      <w:tr w:rsidR="001B39C3" w:rsidRPr="001F17EC" w:rsidTr="00655B86">
        <w:trPr>
          <w:trHeight w:val="310"/>
        </w:trPr>
        <w:tc>
          <w:tcPr>
            <w:tcW w:w="2920" w:type="dxa"/>
            <w:shd w:val="clear" w:color="auto" w:fill="D9D9D9"/>
          </w:tcPr>
          <w:p w:rsidR="001B39C3" w:rsidRPr="001F17EC" w:rsidRDefault="001B39C3" w:rsidP="00655B86">
            <w:r w:rsidRPr="001F17EC">
              <w:t>Total Non-Energy</w:t>
            </w:r>
          </w:p>
        </w:tc>
        <w:tc>
          <w:tcPr>
            <w:tcW w:w="2095" w:type="dxa"/>
            <w:shd w:val="clear" w:color="auto" w:fill="D9D9D9"/>
            <w:vAlign w:val="bottom"/>
          </w:tcPr>
          <w:p w:rsidR="001B39C3" w:rsidRPr="00E5085A" w:rsidRDefault="001B39C3" w:rsidP="00655B86">
            <w:pPr>
              <w:jc w:val="right"/>
              <w:rPr>
                <w:color w:val="000000"/>
              </w:rPr>
            </w:pPr>
            <w:r w:rsidRPr="00E5085A">
              <w:rPr>
                <w:color w:val="000000"/>
              </w:rPr>
              <w:t>$</w:t>
            </w:r>
            <w:r>
              <w:rPr>
                <w:color w:val="000000"/>
              </w:rPr>
              <w:t>4,923</w:t>
            </w:r>
            <w:r w:rsidRPr="00E5085A">
              <w:rPr>
                <w:color w:val="000000"/>
              </w:rPr>
              <w:t xml:space="preserve"> </w:t>
            </w:r>
          </w:p>
        </w:tc>
        <w:tc>
          <w:tcPr>
            <w:tcW w:w="2095" w:type="dxa"/>
            <w:shd w:val="clear" w:color="auto" w:fill="D9D9D9"/>
            <w:vAlign w:val="bottom"/>
          </w:tcPr>
          <w:p w:rsidR="001B39C3" w:rsidRPr="00E5085A" w:rsidRDefault="001B39C3" w:rsidP="00655B86">
            <w:pPr>
              <w:jc w:val="right"/>
              <w:rPr>
                <w:color w:val="000000"/>
              </w:rPr>
            </w:pPr>
            <w:r w:rsidRPr="00E5085A">
              <w:rPr>
                <w:color w:val="000000"/>
              </w:rPr>
              <w:t>$2,</w:t>
            </w:r>
            <w:r>
              <w:rPr>
                <w:color w:val="000000"/>
              </w:rPr>
              <w:t>182</w:t>
            </w:r>
          </w:p>
        </w:tc>
        <w:tc>
          <w:tcPr>
            <w:tcW w:w="2095" w:type="dxa"/>
            <w:shd w:val="clear" w:color="auto" w:fill="D9D9D9"/>
            <w:vAlign w:val="bottom"/>
          </w:tcPr>
          <w:p w:rsidR="001B39C3" w:rsidRPr="00E5085A" w:rsidRDefault="001B39C3" w:rsidP="00655B86">
            <w:pPr>
              <w:jc w:val="right"/>
              <w:rPr>
                <w:color w:val="000000"/>
              </w:rPr>
            </w:pPr>
            <w:r w:rsidRPr="00E5085A">
              <w:rPr>
                <w:color w:val="000000"/>
              </w:rPr>
              <w:t>$</w:t>
            </w:r>
            <w:r>
              <w:rPr>
                <w:color w:val="000000"/>
              </w:rPr>
              <w:t>8,519</w:t>
            </w:r>
            <w:r w:rsidRPr="00E5085A">
              <w:rPr>
                <w:color w:val="000000"/>
              </w:rPr>
              <w:t xml:space="preserve"> </w:t>
            </w:r>
          </w:p>
        </w:tc>
      </w:tr>
      <w:tr w:rsidR="001B39C3" w:rsidRPr="001F17EC" w:rsidTr="00655B86">
        <w:trPr>
          <w:trHeight w:val="310"/>
        </w:trPr>
        <w:tc>
          <w:tcPr>
            <w:tcW w:w="2920" w:type="dxa"/>
            <w:tcBorders>
              <w:bottom w:val="single" w:sz="4" w:space="0" w:color="auto"/>
            </w:tcBorders>
          </w:tcPr>
          <w:p w:rsidR="001B39C3" w:rsidRPr="001F17EC" w:rsidRDefault="001B39C3" w:rsidP="00655B86">
            <w:r w:rsidRPr="001F17EC">
              <w:t>Energy Benefit</w:t>
            </w:r>
          </w:p>
        </w:tc>
        <w:tc>
          <w:tcPr>
            <w:tcW w:w="2095" w:type="dxa"/>
            <w:tcBorders>
              <w:bottom w:val="single" w:sz="4" w:space="0" w:color="auto"/>
            </w:tcBorders>
            <w:vAlign w:val="bottom"/>
          </w:tcPr>
          <w:p w:rsidR="001B39C3" w:rsidRPr="00E5085A" w:rsidRDefault="001B39C3" w:rsidP="00655B86">
            <w:pPr>
              <w:jc w:val="right"/>
              <w:rPr>
                <w:color w:val="000000"/>
              </w:rPr>
            </w:pPr>
            <w:r w:rsidRPr="00E5085A">
              <w:rPr>
                <w:color w:val="000000"/>
              </w:rPr>
              <w:t>$</w:t>
            </w:r>
            <w:r>
              <w:rPr>
                <w:color w:val="000000"/>
              </w:rPr>
              <w:t>7,504</w:t>
            </w:r>
          </w:p>
        </w:tc>
        <w:tc>
          <w:tcPr>
            <w:tcW w:w="2095" w:type="dxa"/>
            <w:tcBorders>
              <w:bottom w:val="single" w:sz="4" w:space="0" w:color="auto"/>
            </w:tcBorders>
            <w:vAlign w:val="bottom"/>
          </w:tcPr>
          <w:p w:rsidR="001B39C3" w:rsidRPr="00E5085A" w:rsidRDefault="001B39C3" w:rsidP="00655B86">
            <w:pPr>
              <w:jc w:val="right"/>
              <w:rPr>
                <w:color w:val="000000"/>
              </w:rPr>
            </w:pPr>
            <w:r w:rsidRPr="00E5085A">
              <w:rPr>
                <w:color w:val="000000"/>
              </w:rPr>
              <w:t>$</w:t>
            </w:r>
            <w:r>
              <w:rPr>
                <w:color w:val="000000"/>
              </w:rPr>
              <w:t>4,901</w:t>
            </w:r>
            <w:r w:rsidRPr="00E5085A">
              <w:rPr>
                <w:color w:val="000000"/>
              </w:rPr>
              <w:t xml:space="preserve"> </w:t>
            </w:r>
          </w:p>
        </w:tc>
        <w:tc>
          <w:tcPr>
            <w:tcW w:w="2095" w:type="dxa"/>
            <w:tcBorders>
              <w:bottom w:val="single" w:sz="4" w:space="0" w:color="auto"/>
            </w:tcBorders>
            <w:vAlign w:val="bottom"/>
          </w:tcPr>
          <w:p w:rsidR="001B39C3" w:rsidRPr="00E5085A" w:rsidRDefault="001B39C3" w:rsidP="00655B86">
            <w:pPr>
              <w:jc w:val="right"/>
              <w:rPr>
                <w:color w:val="000000"/>
              </w:rPr>
            </w:pPr>
            <w:r w:rsidRPr="00E5085A">
              <w:rPr>
                <w:color w:val="000000"/>
              </w:rPr>
              <w:t>$</w:t>
            </w:r>
            <w:r>
              <w:rPr>
                <w:color w:val="000000"/>
              </w:rPr>
              <w:t>10,201</w:t>
            </w:r>
            <w:r w:rsidRPr="00E5085A">
              <w:rPr>
                <w:color w:val="000000"/>
              </w:rPr>
              <w:t xml:space="preserve"> </w:t>
            </w:r>
          </w:p>
        </w:tc>
      </w:tr>
      <w:tr w:rsidR="001B39C3" w:rsidRPr="001F17EC" w:rsidTr="00655B86">
        <w:trPr>
          <w:trHeight w:val="310"/>
        </w:trPr>
        <w:tc>
          <w:tcPr>
            <w:tcW w:w="2920" w:type="dxa"/>
            <w:shd w:val="clear" w:color="auto" w:fill="D9D9D9"/>
          </w:tcPr>
          <w:p w:rsidR="001B39C3" w:rsidRPr="001F17EC" w:rsidRDefault="001B39C3" w:rsidP="00655B86">
            <w:pPr>
              <w:rPr>
                <w:b/>
              </w:rPr>
            </w:pPr>
            <w:r w:rsidRPr="001F17EC">
              <w:rPr>
                <w:b/>
              </w:rPr>
              <w:t>Total Benefit</w:t>
            </w:r>
            <w:r>
              <w:rPr>
                <w:b/>
              </w:rPr>
              <w:t>/Unit</w:t>
            </w:r>
          </w:p>
        </w:tc>
        <w:tc>
          <w:tcPr>
            <w:tcW w:w="2095" w:type="dxa"/>
            <w:shd w:val="clear" w:color="auto" w:fill="D9D9D9"/>
            <w:vAlign w:val="bottom"/>
          </w:tcPr>
          <w:p w:rsidR="001B39C3" w:rsidRPr="00E5085A" w:rsidRDefault="001B39C3" w:rsidP="00655B86">
            <w:pPr>
              <w:jc w:val="right"/>
              <w:rPr>
                <w:color w:val="000000"/>
              </w:rPr>
            </w:pPr>
            <w:r w:rsidRPr="00E5085A">
              <w:rPr>
                <w:color w:val="000000"/>
              </w:rPr>
              <w:t>$</w:t>
            </w:r>
            <w:r>
              <w:rPr>
                <w:color w:val="000000"/>
              </w:rPr>
              <w:t>12,427</w:t>
            </w:r>
            <w:r w:rsidRPr="00E5085A">
              <w:rPr>
                <w:color w:val="000000"/>
              </w:rPr>
              <w:t xml:space="preserve"> </w:t>
            </w:r>
          </w:p>
        </w:tc>
        <w:tc>
          <w:tcPr>
            <w:tcW w:w="2095" w:type="dxa"/>
            <w:shd w:val="clear" w:color="auto" w:fill="D9D9D9"/>
            <w:vAlign w:val="bottom"/>
          </w:tcPr>
          <w:p w:rsidR="001B39C3" w:rsidRPr="00E5085A" w:rsidRDefault="001B39C3" w:rsidP="00655B86">
            <w:pPr>
              <w:jc w:val="right"/>
              <w:rPr>
                <w:color w:val="000000"/>
              </w:rPr>
            </w:pPr>
            <w:r w:rsidRPr="00E5085A">
              <w:rPr>
                <w:color w:val="000000"/>
              </w:rPr>
              <w:t>$</w:t>
            </w:r>
            <w:r>
              <w:rPr>
                <w:color w:val="000000"/>
              </w:rPr>
              <w:t>7,083</w:t>
            </w:r>
            <w:r w:rsidRPr="00E5085A">
              <w:rPr>
                <w:color w:val="000000"/>
              </w:rPr>
              <w:t xml:space="preserve"> </w:t>
            </w:r>
          </w:p>
        </w:tc>
        <w:tc>
          <w:tcPr>
            <w:tcW w:w="2095" w:type="dxa"/>
            <w:shd w:val="clear" w:color="auto" w:fill="D9D9D9"/>
            <w:vAlign w:val="bottom"/>
          </w:tcPr>
          <w:p w:rsidR="001B39C3" w:rsidRPr="00E5085A" w:rsidRDefault="001B39C3" w:rsidP="00655B86">
            <w:pPr>
              <w:jc w:val="right"/>
              <w:rPr>
                <w:color w:val="000000"/>
              </w:rPr>
            </w:pPr>
            <w:r w:rsidRPr="00E5085A">
              <w:rPr>
                <w:color w:val="000000"/>
              </w:rPr>
              <w:t>$</w:t>
            </w:r>
            <w:r>
              <w:rPr>
                <w:color w:val="000000"/>
              </w:rPr>
              <w:t>18,721</w:t>
            </w:r>
            <w:r w:rsidRPr="00E5085A">
              <w:rPr>
                <w:color w:val="000000"/>
              </w:rPr>
              <w:t xml:space="preserve"> </w:t>
            </w:r>
          </w:p>
        </w:tc>
      </w:tr>
      <w:tr w:rsidR="001B39C3" w:rsidRPr="001F17EC" w:rsidTr="00655B86">
        <w:trPr>
          <w:trHeight w:val="294"/>
        </w:trPr>
        <w:tc>
          <w:tcPr>
            <w:tcW w:w="2920" w:type="dxa"/>
            <w:tcBorders>
              <w:bottom w:val="single" w:sz="4" w:space="0" w:color="auto"/>
            </w:tcBorders>
          </w:tcPr>
          <w:p w:rsidR="001B39C3" w:rsidRPr="001F17EC" w:rsidRDefault="001B39C3" w:rsidP="00655B86">
            <w:pPr>
              <w:rPr>
                <w:b/>
              </w:rPr>
            </w:pPr>
            <w:r w:rsidRPr="001F17EC">
              <w:rPr>
                <w:b/>
              </w:rPr>
              <w:t>Total Cost</w:t>
            </w:r>
            <w:r>
              <w:rPr>
                <w:b/>
              </w:rPr>
              <w:t>/Unit</w:t>
            </w:r>
          </w:p>
        </w:tc>
        <w:tc>
          <w:tcPr>
            <w:tcW w:w="2095" w:type="dxa"/>
            <w:tcBorders>
              <w:bottom w:val="single" w:sz="4" w:space="0" w:color="auto"/>
            </w:tcBorders>
          </w:tcPr>
          <w:p w:rsidR="001B39C3" w:rsidRPr="00E5085A" w:rsidRDefault="001B39C3" w:rsidP="00655B86">
            <w:pPr>
              <w:jc w:val="right"/>
            </w:pPr>
            <w:r w:rsidRPr="00E5085A">
              <w:t>$</w:t>
            </w:r>
            <w:r>
              <w:t>10,633</w:t>
            </w:r>
          </w:p>
        </w:tc>
        <w:tc>
          <w:tcPr>
            <w:tcW w:w="2095" w:type="dxa"/>
            <w:tcBorders>
              <w:bottom w:val="single" w:sz="4" w:space="0" w:color="auto"/>
            </w:tcBorders>
          </w:tcPr>
          <w:p w:rsidR="001B39C3" w:rsidRPr="00E5085A" w:rsidRDefault="001B39C3" w:rsidP="00655B86">
            <w:pPr>
              <w:jc w:val="right"/>
            </w:pPr>
            <w:r w:rsidRPr="00E5085A">
              <w:t>$</w:t>
            </w:r>
            <w:r>
              <w:t>11,133</w:t>
            </w:r>
          </w:p>
        </w:tc>
        <w:tc>
          <w:tcPr>
            <w:tcW w:w="2095" w:type="dxa"/>
            <w:tcBorders>
              <w:bottom w:val="single" w:sz="4" w:space="0" w:color="auto"/>
            </w:tcBorders>
          </w:tcPr>
          <w:p w:rsidR="001B39C3" w:rsidRPr="00E5085A" w:rsidRDefault="001B39C3" w:rsidP="00655B86">
            <w:pPr>
              <w:jc w:val="right"/>
            </w:pPr>
            <w:r w:rsidRPr="00E5085A">
              <w:t>$</w:t>
            </w:r>
            <w:r>
              <w:t>10,133</w:t>
            </w:r>
          </w:p>
        </w:tc>
      </w:tr>
      <w:tr w:rsidR="001B39C3" w:rsidRPr="001F17EC" w:rsidTr="00655B86">
        <w:trPr>
          <w:trHeight w:val="604"/>
        </w:trPr>
        <w:tc>
          <w:tcPr>
            <w:tcW w:w="2920" w:type="dxa"/>
            <w:shd w:val="clear" w:color="auto" w:fill="D9D9D9"/>
          </w:tcPr>
          <w:p w:rsidR="001B39C3" w:rsidRPr="001F17EC" w:rsidRDefault="001B39C3" w:rsidP="00655B86">
            <w:pPr>
              <w:rPr>
                <w:b/>
              </w:rPr>
            </w:pPr>
            <w:r w:rsidRPr="001F17EC">
              <w:rPr>
                <w:b/>
              </w:rPr>
              <w:t>Benefit-Cost Ratio</w:t>
            </w:r>
          </w:p>
        </w:tc>
        <w:tc>
          <w:tcPr>
            <w:tcW w:w="2095" w:type="dxa"/>
            <w:shd w:val="clear" w:color="auto" w:fill="D9D9D9"/>
          </w:tcPr>
          <w:p w:rsidR="001B39C3" w:rsidRPr="00E5085A" w:rsidRDefault="001B39C3" w:rsidP="00655B86">
            <w:pPr>
              <w:jc w:val="right"/>
            </w:pPr>
            <w:r w:rsidRPr="00E5085A">
              <w:t>1.</w:t>
            </w:r>
            <w:r>
              <w:t>2</w:t>
            </w:r>
          </w:p>
        </w:tc>
        <w:tc>
          <w:tcPr>
            <w:tcW w:w="2095" w:type="dxa"/>
            <w:shd w:val="clear" w:color="auto" w:fill="D9D9D9"/>
          </w:tcPr>
          <w:p w:rsidR="001B39C3" w:rsidRPr="00E5085A" w:rsidRDefault="001B39C3" w:rsidP="00655B86">
            <w:pPr>
              <w:jc w:val="right"/>
            </w:pPr>
            <w:r w:rsidRPr="00E5085A">
              <w:t>0.</w:t>
            </w:r>
            <w:r>
              <w:t>6</w:t>
            </w:r>
          </w:p>
        </w:tc>
        <w:tc>
          <w:tcPr>
            <w:tcW w:w="2095" w:type="dxa"/>
            <w:shd w:val="clear" w:color="auto" w:fill="D9D9D9"/>
          </w:tcPr>
          <w:p w:rsidR="001B39C3" w:rsidRPr="00E5085A" w:rsidRDefault="001B39C3" w:rsidP="00655B86">
            <w:pPr>
              <w:jc w:val="right"/>
            </w:pPr>
            <w:r>
              <w:t>1.9</w:t>
            </w:r>
          </w:p>
        </w:tc>
      </w:tr>
    </w:tbl>
    <w:p w:rsidR="001B39C3" w:rsidRPr="00C04DF6" w:rsidRDefault="001B39C3" w:rsidP="001B39C3">
      <w:pPr>
        <w:ind w:left="360"/>
        <w:rPr>
          <w:szCs w:val="20"/>
        </w:rPr>
      </w:pPr>
      <w:r>
        <w:rPr>
          <w:szCs w:val="20"/>
        </w:rPr>
        <w:t>*</w:t>
      </w:r>
      <w:r w:rsidRPr="00C04DF6">
        <w:rPr>
          <w:szCs w:val="20"/>
        </w:rPr>
        <w:t>The emissions and economic benefit are combined in the high scenario</w:t>
      </w:r>
    </w:p>
    <w:p w:rsidR="001B39C3" w:rsidRPr="00C04DF6" w:rsidRDefault="001B39C3" w:rsidP="001B39C3">
      <w:pPr>
        <w:ind w:left="360"/>
        <w:rPr>
          <w:szCs w:val="20"/>
        </w:rPr>
      </w:pPr>
    </w:p>
    <w:p w:rsidR="00251106" w:rsidRDefault="00251106" w:rsidP="00EE7132">
      <w:pPr>
        <w:pStyle w:val="Heading4"/>
        <w:rPr>
          <w:rFonts w:ascii="Arial" w:hAnsi="Arial" w:cs="Arial"/>
        </w:rPr>
      </w:pPr>
    </w:p>
    <w:p w:rsidR="001B39C3" w:rsidRDefault="001B39C3" w:rsidP="00EE7132">
      <w:pPr>
        <w:pStyle w:val="Heading4"/>
        <w:rPr>
          <w:rFonts w:ascii="Arial" w:hAnsi="Arial" w:cs="Arial"/>
        </w:rPr>
      </w:pPr>
    </w:p>
    <w:p w:rsidR="00EE7132" w:rsidRPr="00706A00" w:rsidRDefault="00D74757" w:rsidP="00EE7132">
      <w:pPr>
        <w:pStyle w:val="Heading4"/>
        <w:rPr>
          <w:rFonts w:ascii="Arial" w:hAnsi="Arial" w:cs="Arial"/>
        </w:rPr>
      </w:pPr>
      <w:r>
        <w:rPr>
          <w:rFonts w:ascii="Arial" w:hAnsi="Arial" w:cs="Arial"/>
        </w:rPr>
        <w:t>Additional</w:t>
      </w:r>
      <w:r w:rsidR="00EE7132" w:rsidRPr="006F7B3F">
        <w:rPr>
          <w:rFonts w:ascii="Arial" w:hAnsi="Arial" w:cs="Arial"/>
        </w:rPr>
        <w:t xml:space="preserve"> Factors Supporting the Waiver Request</w:t>
      </w:r>
      <w:r w:rsidR="00F30CA6" w:rsidRPr="006F7B3F">
        <w:rPr>
          <w:rFonts w:ascii="Arial" w:hAnsi="Arial" w:cs="Arial"/>
          <w:u w:val="none"/>
        </w:rPr>
        <w:t xml:space="preserve"> </w:t>
      </w:r>
    </w:p>
    <w:p w:rsidR="00EB6652" w:rsidRPr="00706A00" w:rsidRDefault="00EB6652">
      <w:pPr>
        <w:pStyle w:val="BodyText"/>
      </w:pPr>
    </w:p>
    <w:p w:rsidR="002C4287" w:rsidRDefault="00015C99" w:rsidP="004C67E6">
      <w:r w:rsidRPr="00E30861">
        <w:t xml:space="preserve">The </w:t>
      </w:r>
      <w:r w:rsidR="00925B60" w:rsidRPr="00E30861">
        <w:t xml:space="preserve">goal of the State’s request </w:t>
      </w:r>
      <w:r w:rsidR="007B5DB2" w:rsidRPr="00E30861">
        <w:t xml:space="preserve">is to </w:t>
      </w:r>
      <w:r w:rsidR="00925B60" w:rsidRPr="00E30861">
        <w:t xml:space="preserve">reduce the </w:t>
      </w:r>
      <w:r w:rsidR="0022351F" w:rsidRPr="00E30861">
        <w:t>long-term</w:t>
      </w:r>
      <w:r w:rsidR="00D41697" w:rsidRPr="00E30861">
        <w:t xml:space="preserve"> </w:t>
      </w:r>
      <w:r w:rsidR="00925B60" w:rsidRPr="00E30861">
        <w:t>energy and heating bills of low-income families</w:t>
      </w:r>
      <w:r w:rsidR="00F529EE">
        <w:t xml:space="preserve">. </w:t>
      </w:r>
      <w:r w:rsidR="006E7498" w:rsidRPr="00E30861">
        <w:t>LIHEAP heating, cool</w:t>
      </w:r>
      <w:r w:rsidR="00952E36" w:rsidRPr="00E30861">
        <w:t xml:space="preserve">ing, and crisis assistance are </w:t>
      </w:r>
      <w:r w:rsidR="006E7498" w:rsidRPr="00E30861">
        <w:t>important</w:t>
      </w:r>
      <w:r w:rsidR="00A54BF7" w:rsidRPr="00E30861">
        <w:t xml:space="preserve"> and necessary</w:t>
      </w:r>
      <w:r w:rsidR="008B38B9">
        <w:t>, but</w:t>
      </w:r>
      <w:r w:rsidR="006E7498" w:rsidRPr="00E30861">
        <w:t xml:space="preserve"> </w:t>
      </w:r>
      <w:r w:rsidR="00B10D04" w:rsidRPr="00E30861">
        <w:t xml:space="preserve">the </w:t>
      </w:r>
      <w:r w:rsidR="006E7498" w:rsidRPr="00E30861">
        <w:t xml:space="preserve">long-term </w:t>
      </w:r>
      <w:r w:rsidR="00A54BF7" w:rsidRPr="00E30861">
        <w:t xml:space="preserve">benefits of </w:t>
      </w:r>
      <w:r w:rsidRPr="00E30861">
        <w:t xml:space="preserve">LIHEAP weatherization </w:t>
      </w:r>
      <w:r w:rsidR="006E7498" w:rsidRPr="00E30861">
        <w:t xml:space="preserve">assistance </w:t>
      </w:r>
      <w:r w:rsidR="00952E36" w:rsidRPr="00E30861">
        <w:t>reduc</w:t>
      </w:r>
      <w:r w:rsidR="00E23BD2" w:rsidRPr="00E30861">
        <w:t>es</w:t>
      </w:r>
      <w:r w:rsidR="00952E36" w:rsidRPr="00E30861">
        <w:t xml:space="preserve"> </w:t>
      </w:r>
      <w:r w:rsidR="00CE56AF" w:rsidRPr="00E30861">
        <w:t xml:space="preserve">the number </w:t>
      </w:r>
      <w:r w:rsidR="00A106A7" w:rsidRPr="00E30861">
        <w:t xml:space="preserve">of delinquent utility payments and </w:t>
      </w:r>
      <w:r w:rsidR="00A46C15" w:rsidRPr="00E30861">
        <w:t xml:space="preserve">the need for </w:t>
      </w:r>
      <w:r w:rsidR="00952E36" w:rsidRPr="00E30861">
        <w:t xml:space="preserve">energy </w:t>
      </w:r>
      <w:r w:rsidR="009B04EE" w:rsidRPr="00E30861">
        <w:t xml:space="preserve">assistance applications, </w:t>
      </w:r>
      <w:r w:rsidR="00287882" w:rsidRPr="00E30861">
        <w:t xml:space="preserve">resulting in fewer service shut-offs and </w:t>
      </w:r>
      <w:r w:rsidRPr="00E30861">
        <w:t>free</w:t>
      </w:r>
      <w:r w:rsidR="006E7498" w:rsidRPr="00E30861">
        <w:t>ing</w:t>
      </w:r>
      <w:r w:rsidRPr="00E30861">
        <w:t xml:space="preserve"> up household income </w:t>
      </w:r>
      <w:r w:rsidR="006E7498" w:rsidRPr="00E30861">
        <w:t xml:space="preserve">for other needs.  </w:t>
      </w:r>
    </w:p>
    <w:p w:rsidR="00BC2CAE" w:rsidRDefault="00BC2CAE" w:rsidP="004C67E6"/>
    <w:p w:rsidR="007D6252" w:rsidRDefault="00B10D04" w:rsidP="004C67E6">
      <w:r w:rsidRPr="00E30861">
        <w:t xml:space="preserve">Weatherization measures, including </w:t>
      </w:r>
      <w:r w:rsidR="00F84234" w:rsidRPr="00E30861">
        <w:t xml:space="preserve">energy-related </w:t>
      </w:r>
      <w:r w:rsidR="00CE39D5" w:rsidRPr="00E30861">
        <w:t xml:space="preserve">health and safety measures and repairs, </w:t>
      </w:r>
      <w:r w:rsidR="00296466" w:rsidRPr="00E30861">
        <w:t xml:space="preserve">weatherization-related repairs, </w:t>
      </w:r>
      <w:r w:rsidR="00317A30" w:rsidRPr="00E30861">
        <w:t xml:space="preserve">and </w:t>
      </w:r>
      <w:r w:rsidRPr="00E30861">
        <w:t>the installation of low-cost/no-cost materials</w:t>
      </w:r>
      <w:r w:rsidR="00296466" w:rsidRPr="00E30861">
        <w:t>,</w:t>
      </w:r>
      <w:r w:rsidRPr="00E30861">
        <w:t xml:space="preserve"> </w:t>
      </w:r>
      <w:r w:rsidR="00317A30" w:rsidRPr="00E30861">
        <w:t>as well as</w:t>
      </w:r>
      <w:r w:rsidRPr="00E30861">
        <w:t xml:space="preserve"> the delivery of c</w:t>
      </w:r>
      <w:r w:rsidR="00296466" w:rsidRPr="00E30861">
        <w:t>onsumer conservation education</w:t>
      </w:r>
      <w:r w:rsidR="00317A30" w:rsidRPr="00E30861">
        <w:t>,</w:t>
      </w:r>
      <w:r w:rsidR="00296466" w:rsidRPr="00E30861">
        <w:t xml:space="preserve"> </w:t>
      </w:r>
      <w:r w:rsidRPr="00E30861">
        <w:t xml:space="preserve">are preventative </w:t>
      </w:r>
      <w:r w:rsidR="00313BB0">
        <w:t>and long-</w:t>
      </w:r>
      <w:r w:rsidR="00A46C15" w:rsidRPr="00E30861">
        <w:t xml:space="preserve">term </w:t>
      </w:r>
      <w:r w:rsidRPr="00E30861">
        <w:t>i</w:t>
      </w:r>
      <w:r w:rsidR="00E02AD1" w:rsidRPr="00E30861">
        <w:t>n nature.</w:t>
      </w:r>
      <w:r w:rsidR="000C5744" w:rsidRPr="00E30861">
        <w:t xml:space="preserve"> </w:t>
      </w:r>
      <w:r w:rsidR="00975020" w:rsidRPr="00E30861">
        <w:t xml:space="preserve">Weatherization measures </w:t>
      </w:r>
      <w:r w:rsidR="001C00AA" w:rsidRPr="00E30861">
        <w:t xml:space="preserve">reduce energy burden through </w:t>
      </w:r>
      <w:r w:rsidR="003327D9" w:rsidRPr="00E30861">
        <w:t xml:space="preserve">energy retrofits, eliminate structural hazards (thereby </w:t>
      </w:r>
      <w:r w:rsidR="0046698A" w:rsidRPr="00E30861">
        <w:t xml:space="preserve">protecting building occupants), </w:t>
      </w:r>
      <w:r w:rsidR="0047533B" w:rsidRPr="00E30861">
        <w:t xml:space="preserve">and </w:t>
      </w:r>
      <w:r w:rsidR="003327D9" w:rsidRPr="00E30861">
        <w:t>preserve the efficacy of weatherization m</w:t>
      </w:r>
      <w:r w:rsidR="00F529EE">
        <w:t xml:space="preserve">aterials. </w:t>
      </w:r>
      <w:r w:rsidR="0047533B" w:rsidRPr="00E30861">
        <w:t xml:space="preserve">Installation of low-cost/no-cost materials (for example, compact fluorescent light bulbs, low-flow showerheads, and faucet aerators) and </w:t>
      </w:r>
      <w:r w:rsidR="00E50F97" w:rsidRPr="00E30861">
        <w:t xml:space="preserve">delivery of consumer </w:t>
      </w:r>
      <w:r w:rsidR="00C261FB">
        <w:t xml:space="preserve">conservation </w:t>
      </w:r>
      <w:r w:rsidR="00E50F97" w:rsidRPr="00E30861">
        <w:t>education provide opportunities for weatherization recipients to take a direct role in learning and implementing energy</w:t>
      </w:r>
      <w:r w:rsidR="00EA44D1" w:rsidRPr="00E30861">
        <w:t xml:space="preserve">-efficiency measures and </w:t>
      </w:r>
      <w:r w:rsidR="00E50F97" w:rsidRPr="00E30861">
        <w:t>long-term behavi</w:t>
      </w:r>
      <w:r w:rsidR="00EA44D1" w:rsidRPr="00E30861">
        <w:t>or change</w:t>
      </w:r>
      <w:r w:rsidR="00E50F97" w:rsidRPr="00E30861">
        <w:t>.</w:t>
      </w:r>
    </w:p>
    <w:p w:rsidR="00250383" w:rsidRPr="006F1991" w:rsidRDefault="00250383" w:rsidP="00887FA6">
      <w:pPr>
        <w:pStyle w:val="BodyText"/>
      </w:pPr>
    </w:p>
    <w:p w:rsidR="00A2028F" w:rsidRPr="00555063" w:rsidRDefault="00A2028F" w:rsidP="00A2028F">
      <w:pPr>
        <w:pStyle w:val="BodyText"/>
        <w:rPr>
          <w:rFonts w:ascii="Arial" w:hAnsi="Arial" w:cs="Arial"/>
          <w:b/>
          <w:noProof/>
        </w:rPr>
      </w:pPr>
      <w:r w:rsidRPr="00555063">
        <w:rPr>
          <w:rFonts w:ascii="Arial" w:hAnsi="Arial" w:cs="Arial"/>
          <w:b/>
          <w:noProof/>
        </w:rPr>
        <w:t xml:space="preserve">Washington State </w:t>
      </w:r>
      <w:r>
        <w:rPr>
          <w:rFonts w:ascii="Arial" w:hAnsi="Arial" w:cs="Arial"/>
          <w:b/>
          <w:noProof/>
        </w:rPr>
        <w:t>Electricty and Natural Gas</w:t>
      </w:r>
      <w:r w:rsidRPr="00555063">
        <w:rPr>
          <w:rFonts w:ascii="Arial" w:hAnsi="Arial" w:cs="Arial"/>
          <w:b/>
          <w:noProof/>
        </w:rPr>
        <w:t xml:space="preserve"> Prices </w:t>
      </w:r>
    </w:p>
    <w:p w:rsidR="00A2028F" w:rsidRPr="00555063" w:rsidRDefault="00A2028F" w:rsidP="00A2028F"/>
    <w:p w:rsidR="00A2028F" w:rsidRDefault="00A2028F" w:rsidP="00A2028F">
      <w:r>
        <w:rPr>
          <w:noProof/>
        </w:rPr>
        <w:t xml:space="preserve">According to the Department of Commerce’s Energy Office, and as illustrated in the graph below, the residential </w:t>
      </w:r>
      <w:r>
        <w:t>natural gas price for Washington increased modestly in 2016. The price increase is combined with a colder than normal Northwest winter during 2016/17, which increased household natural gas consumption and utility bills.</w:t>
      </w:r>
      <w:r w:rsidRPr="00CD4230">
        <w:t xml:space="preserve"> </w:t>
      </w:r>
      <w:r>
        <w:t xml:space="preserve">The federal Energy Information Administration is forecasting an 8% increase in the average residential natural gas rate. Wholesale natural gas prices increased during the second half of 2016, in part due to small declines in US production and increased exports. This wholesale market price increase will eventually be reflected in slightly higher utility rates for residential and commercial natural gas customers during 2017 and 2018. </w:t>
      </w:r>
    </w:p>
    <w:p w:rsidR="00A2028F" w:rsidRDefault="00A2028F" w:rsidP="00A2028F"/>
    <w:p w:rsidR="00A2028F" w:rsidRDefault="00A2028F" w:rsidP="00A2028F">
      <w:r>
        <w:t xml:space="preserve">The graph below also illustrates the increase in Washington state residential electric prices during 2016. The average Washington state residential electric rate increased by 8.5% during </w:t>
      </w:r>
      <w:r w:rsidRPr="00CD4230">
        <w:t>201</w:t>
      </w:r>
      <w:r>
        <w:t>6. During 2016 and 2017</w:t>
      </w:r>
      <w:r w:rsidRPr="00CD4230">
        <w:t xml:space="preserve"> public utilities, primarily served by the Bonneville Power A</w:t>
      </w:r>
      <w:r>
        <w:t>dministration (BPA) are implementing a rate increase</w:t>
      </w:r>
      <w:r w:rsidRPr="00CD4230">
        <w:t xml:space="preserve"> </w:t>
      </w:r>
      <w:r>
        <w:t>of 7.1% for power sales and a 4.4</w:t>
      </w:r>
      <w:r w:rsidRPr="00CD4230">
        <w:t>% rate increase for transmission services</w:t>
      </w:r>
      <w:r>
        <w:t xml:space="preserve">: the percentage impact at the retail level will be about half the published BPA rate increase. The independently owned Washington </w:t>
      </w:r>
      <w:r w:rsidRPr="00CD4230">
        <w:t>utilities Puget Sou</w:t>
      </w:r>
      <w:r>
        <w:t>nd Energy (PSE) and Avista are enacting small rate increases of about 1% for 2017.</w:t>
      </w:r>
    </w:p>
    <w:p w:rsidR="00A2028F" w:rsidRDefault="00A2028F" w:rsidP="00A2028F"/>
    <w:p w:rsidR="00A2028F" w:rsidRDefault="00A2028F" w:rsidP="00A2028F">
      <w:r>
        <w:rPr>
          <w:noProof/>
        </w:rPr>
        <w:drawing>
          <wp:inline distT="0" distB="0" distL="0" distR="0" wp14:anchorId="4E61F941" wp14:editId="1FA41B84">
            <wp:extent cx="5654452" cy="372126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7492" cy="3736424"/>
                    </a:xfrm>
                    <a:prstGeom prst="rect">
                      <a:avLst/>
                    </a:prstGeom>
                    <a:noFill/>
                  </pic:spPr>
                </pic:pic>
              </a:graphicData>
            </a:graphic>
          </wp:inline>
        </w:drawing>
      </w:r>
    </w:p>
    <w:p w:rsidR="00250383" w:rsidRDefault="00250383" w:rsidP="00250383"/>
    <w:p w:rsidR="00A447B0" w:rsidRPr="00A447B0" w:rsidRDefault="00A447B0" w:rsidP="00A447B0">
      <w:pPr>
        <w:rPr>
          <w:i/>
          <w:sz w:val="22"/>
        </w:rPr>
      </w:pPr>
      <w:r w:rsidRPr="00A447B0">
        <w:rPr>
          <w:i/>
          <w:sz w:val="22"/>
        </w:rPr>
        <w:t xml:space="preserve">*Note: Missing data points on Residential Natural Gas data line are as a result of EIA Price Data reporting standards. They do not publish data with less than four reporting entities, we have five natural gas utilities in Washington State, if two do not submit their data the EIA won’t publish the average of the remaining three. </w:t>
      </w:r>
    </w:p>
    <w:p w:rsidR="00A447B0" w:rsidRDefault="00A447B0" w:rsidP="00250383"/>
    <w:p w:rsidR="00C349D0" w:rsidRDefault="00C349D0" w:rsidP="00F144FA">
      <w:pPr>
        <w:rPr>
          <w:noProof/>
          <w:highlight w:val="magenta"/>
        </w:rPr>
      </w:pPr>
    </w:p>
    <w:p w:rsidR="00C349D0" w:rsidRPr="000F709C" w:rsidRDefault="00C349D0" w:rsidP="00C349D0">
      <w:pPr>
        <w:rPr>
          <w:rFonts w:ascii="Arial" w:hAnsi="Arial" w:cs="Arial"/>
          <w:b/>
          <w:noProof/>
        </w:rPr>
      </w:pPr>
      <w:r w:rsidRPr="003F1CF3">
        <w:rPr>
          <w:rFonts w:ascii="Arial" w:hAnsi="Arial" w:cs="Arial"/>
          <w:b/>
          <w:noProof/>
        </w:rPr>
        <w:t xml:space="preserve">Weatherization Fund Source Reductions </w:t>
      </w:r>
    </w:p>
    <w:p w:rsidR="00C349D0" w:rsidRPr="00555063" w:rsidRDefault="00C349D0" w:rsidP="00C349D0">
      <w:pPr>
        <w:rPr>
          <w:rFonts w:ascii="Arial" w:hAnsi="Arial" w:cs="Arial"/>
          <w:b/>
          <w:noProof/>
        </w:rPr>
      </w:pPr>
    </w:p>
    <w:p w:rsidR="00CF1E9F" w:rsidRPr="00251106" w:rsidRDefault="00CF1E9F" w:rsidP="00CF1E9F">
      <w:r w:rsidRPr="00EF39DB">
        <w:t xml:space="preserve">The following graph shows funding trends from </w:t>
      </w:r>
      <w:r w:rsidRPr="00782268">
        <w:t>20</w:t>
      </w:r>
      <w:r w:rsidR="00782268">
        <w:t>12</w:t>
      </w:r>
      <w:r w:rsidRPr="00782268">
        <w:t xml:space="preserve"> to 201</w:t>
      </w:r>
      <w:r w:rsidR="0022351F">
        <w:t>7</w:t>
      </w:r>
      <w:r w:rsidRPr="00782268">
        <w:t xml:space="preserve"> for the Washington Low-Income Weatherization Program. </w:t>
      </w:r>
      <w:r w:rsidRPr="00251106">
        <w:t xml:space="preserve">In comparison to </w:t>
      </w:r>
      <w:r w:rsidR="00251106" w:rsidRPr="00251106">
        <w:t xml:space="preserve">FFY </w:t>
      </w:r>
      <w:r w:rsidRPr="00251106">
        <w:t>201</w:t>
      </w:r>
      <w:r w:rsidR="00254E30">
        <w:t>6</w:t>
      </w:r>
      <w:r w:rsidRPr="00251106">
        <w:t xml:space="preserve">, </w:t>
      </w:r>
      <w:r w:rsidR="00251106" w:rsidRPr="00251106">
        <w:t xml:space="preserve">FFY </w:t>
      </w:r>
      <w:r w:rsidRPr="00251106">
        <w:t>201</w:t>
      </w:r>
      <w:r w:rsidR="00254E30">
        <w:t>7</w:t>
      </w:r>
      <w:r w:rsidRPr="00251106">
        <w:t xml:space="preserve"> allocations </w:t>
      </w:r>
      <w:r w:rsidR="00254E30">
        <w:t>decreased</w:t>
      </w:r>
      <w:r w:rsidR="00254E30" w:rsidRPr="00251106">
        <w:t xml:space="preserve"> </w:t>
      </w:r>
      <w:r w:rsidRPr="00251106">
        <w:t xml:space="preserve">by </w:t>
      </w:r>
      <w:r w:rsidR="006C4ECD">
        <w:t>1</w:t>
      </w:r>
      <w:r w:rsidR="00254E30">
        <w:t>1</w:t>
      </w:r>
      <w:r w:rsidRPr="00251106">
        <w:t xml:space="preserve">% for LIHEAP Weatherization </w:t>
      </w:r>
      <w:r w:rsidR="00FB4E42" w:rsidRPr="00251106">
        <w:t>and</w:t>
      </w:r>
      <w:r w:rsidR="00FB4E42">
        <w:t xml:space="preserve"> we</w:t>
      </w:r>
      <w:r w:rsidR="00732E13">
        <w:t xml:space="preserve"> are anticipating</w:t>
      </w:r>
      <w:r w:rsidRPr="00251106">
        <w:t xml:space="preserve"> Department of Energy Weatherization Assistance Program (DOE WAP)</w:t>
      </w:r>
      <w:r w:rsidR="00732E13">
        <w:t xml:space="preserve"> remaining flat</w:t>
      </w:r>
      <w:r w:rsidR="00782268" w:rsidRPr="00251106">
        <w:t>.</w:t>
      </w:r>
      <w:r w:rsidR="00A767AD" w:rsidRPr="00251106">
        <w:t xml:space="preserve">  </w:t>
      </w:r>
      <w:r w:rsidRPr="00251106">
        <w:t>Washington State Matchmakers funding</w:t>
      </w:r>
      <w:r w:rsidR="00402892" w:rsidRPr="00251106">
        <w:t xml:space="preserve"> </w:t>
      </w:r>
      <w:r w:rsidR="0099748A">
        <w:t>remained the same from FY16 to FY17</w:t>
      </w:r>
      <w:r w:rsidR="00251106" w:rsidRPr="00251106">
        <w:t>.</w:t>
      </w:r>
      <w:r w:rsidR="00402892" w:rsidRPr="00251106">
        <w:t xml:space="preserve"> </w:t>
      </w:r>
    </w:p>
    <w:p w:rsidR="00CF1E9F" w:rsidRPr="00251106" w:rsidRDefault="00CF1E9F" w:rsidP="00CF1E9F"/>
    <w:p w:rsidR="00CF1E9F" w:rsidRPr="00EF39DB" w:rsidRDefault="006C4ECD" w:rsidP="00CF1E9F">
      <w:r>
        <w:t>Washington State</w:t>
      </w:r>
      <w:r w:rsidR="00254E30">
        <w:t xml:space="preserve"> weatherization funding is decreasing; fewer families will receiv</w:t>
      </w:r>
      <w:r w:rsidR="0099748A">
        <w:t>e</w:t>
      </w:r>
      <w:r w:rsidR="00254E30">
        <w:t xml:space="preserve"> weatherization services than in past years as a direct result of this loss of funding.</w:t>
      </w:r>
      <w:r>
        <w:t xml:space="preserve"> </w:t>
      </w:r>
      <w:r w:rsidR="00254E30">
        <w:t>T</w:t>
      </w:r>
      <w:r>
        <w:t xml:space="preserve">he LIHEAP waiver funding will allow </w:t>
      </w:r>
      <w:r w:rsidR="004407C5">
        <w:t>local agencies</w:t>
      </w:r>
      <w:r>
        <w:t xml:space="preserve"> to </w:t>
      </w:r>
      <w:r w:rsidR="004407C5">
        <w:t xml:space="preserve">provide weatherization services to </w:t>
      </w:r>
      <w:r w:rsidR="00254E30">
        <w:t xml:space="preserve">more families than otherwise possible. Not only will it serve as a critical stopgap in this time of funding losses but it will also </w:t>
      </w:r>
      <w:r>
        <w:t xml:space="preserve">continue to reduce </w:t>
      </w:r>
      <w:r w:rsidR="008B38B9">
        <w:t xml:space="preserve">long-term </w:t>
      </w:r>
      <w:r>
        <w:t>energ</w:t>
      </w:r>
      <w:r w:rsidR="00174038">
        <w:t>y costs for low-income familie</w:t>
      </w:r>
      <w:r w:rsidR="00254E30">
        <w:t>s</w:t>
      </w:r>
      <w:r w:rsidR="00174038">
        <w:t>.</w:t>
      </w:r>
    </w:p>
    <w:p w:rsidR="00CF1E9F" w:rsidRDefault="00CF1E9F" w:rsidP="00CF1E9F">
      <w:pPr>
        <w:jc w:val="center"/>
      </w:pPr>
    </w:p>
    <w:p w:rsidR="00CF1E9F" w:rsidRPr="000F709C" w:rsidRDefault="00896D97" w:rsidP="00CF1E9F">
      <w:pPr>
        <w:jc w:val="center"/>
      </w:pPr>
      <w:r>
        <w:rPr>
          <w:noProof/>
        </w:rPr>
        <w:drawing>
          <wp:inline distT="0" distB="0" distL="0" distR="0" wp14:anchorId="75C055D1" wp14:editId="6EA91BF9">
            <wp:extent cx="5943600" cy="3372485"/>
            <wp:effectExtent l="0" t="0" r="0"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1E9F" w:rsidRDefault="00CF1E9F" w:rsidP="00CF1E9F">
      <w:pPr>
        <w:rPr>
          <w:rFonts w:ascii="Arial" w:hAnsi="Arial" w:cs="Arial"/>
          <w:b/>
        </w:rPr>
      </w:pPr>
    </w:p>
    <w:p w:rsidR="00CF1E9F" w:rsidRPr="00D21B48" w:rsidRDefault="00CF1E9F" w:rsidP="00CF1E9F">
      <w:pPr>
        <w:rPr>
          <w:rFonts w:ascii="Arial" w:hAnsi="Arial" w:cs="Arial"/>
        </w:rPr>
      </w:pPr>
      <w:r w:rsidRPr="00D21B48">
        <w:rPr>
          <w:rFonts w:ascii="Arial" w:hAnsi="Arial" w:cs="Arial"/>
          <w:b/>
        </w:rPr>
        <w:t>LIHEAP, DOE and Matchmakers calculations</w:t>
      </w:r>
      <w:r w:rsidR="00FD026F">
        <w:rPr>
          <w:rFonts w:ascii="Arial" w:hAnsi="Arial" w:cs="Arial"/>
          <w:b/>
        </w:rPr>
        <w:t xml:space="preserve"> </w:t>
      </w:r>
    </w:p>
    <w:p w:rsidR="00595D4C" w:rsidRDefault="00595D4C" w:rsidP="00CF1E9F">
      <w:pPr>
        <w:rPr>
          <w:rFonts w:ascii="Arial" w:hAnsi="Arial" w:cs="Arial"/>
          <w:b/>
        </w:rPr>
      </w:pPr>
    </w:p>
    <w:p w:rsidR="00CF1E9F" w:rsidRPr="00D21B48" w:rsidRDefault="00CF1E9F" w:rsidP="00CF1E9F">
      <w:pPr>
        <w:rPr>
          <w:rFonts w:ascii="Arial" w:hAnsi="Arial" w:cs="Arial"/>
          <w:b/>
        </w:rPr>
      </w:pPr>
      <w:r w:rsidRPr="00D21B48">
        <w:rPr>
          <w:rFonts w:ascii="Arial" w:hAnsi="Arial" w:cs="Arial"/>
          <w:b/>
        </w:rPr>
        <w:t>LIHEAP</w:t>
      </w:r>
    </w:p>
    <w:p w:rsidR="00CF1E9F" w:rsidRPr="00D21B48" w:rsidRDefault="00CF1E9F" w:rsidP="00CF1E9F"/>
    <w:p w:rsidR="00CF1E9F" w:rsidRDefault="00F7540C" w:rsidP="00CF1E9F">
      <w:r w:rsidRPr="003E214D">
        <w:t xml:space="preserve">2016 regular award (not including waiver): </w:t>
      </w:r>
      <w:r w:rsidR="00D1044C" w:rsidRPr="003E214D">
        <w:t>$9,414,252</w:t>
      </w:r>
    </w:p>
    <w:p w:rsidR="00254E30" w:rsidRPr="00254E30" w:rsidRDefault="00254E30" w:rsidP="00254E30">
      <w:r w:rsidRPr="003E214D">
        <w:t>201</w:t>
      </w:r>
      <w:r>
        <w:t>7</w:t>
      </w:r>
      <w:r w:rsidRPr="003E214D">
        <w:t xml:space="preserve"> regular award (not including waiver): </w:t>
      </w:r>
      <w:r w:rsidRPr="00254E30">
        <w:t xml:space="preserve">$8,416,782 </w:t>
      </w:r>
    </w:p>
    <w:p w:rsidR="00254E30" w:rsidRPr="003E214D" w:rsidRDefault="00254E30" w:rsidP="00254E30"/>
    <w:p w:rsidR="00254E30" w:rsidRPr="003E214D" w:rsidRDefault="00254E30" w:rsidP="00CF1E9F"/>
    <w:p w:rsidR="00F7540C" w:rsidRPr="003E214D" w:rsidRDefault="00F7540C" w:rsidP="00CF1E9F"/>
    <w:p w:rsidR="00D1044C" w:rsidRPr="003E214D" w:rsidRDefault="00D1044C" w:rsidP="00CF1E9F">
      <w:r w:rsidRPr="003E214D">
        <w:t xml:space="preserve">% </w:t>
      </w:r>
      <w:r w:rsidR="00254E30">
        <w:t>decrease</w:t>
      </w:r>
      <w:r w:rsidR="00254E30" w:rsidRPr="003E214D">
        <w:t xml:space="preserve"> </w:t>
      </w:r>
      <w:r w:rsidRPr="003E214D">
        <w:t xml:space="preserve">from </w:t>
      </w:r>
      <w:r w:rsidR="00251106">
        <w:t xml:space="preserve">FFY </w:t>
      </w:r>
      <w:r w:rsidRPr="003E214D">
        <w:t>201</w:t>
      </w:r>
      <w:r w:rsidR="00254E30">
        <w:t>6</w:t>
      </w:r>
      <w:r w:rsidRPr="003E214D">
        <w:t xml:space="preserve"> </w:t>
      </w:r>
      <w:r w:rsidR="00595D4C" w:rsidRPr="003E214D">
        <w:t>to</w:t>
      </w:r>
      <w:r w:rsidR="00251106">
        <w:t xml:space="preserve"> FFY </w:t>
      </w:r>
      <w:r w:rsidR="00254E30">
        <w:t xml:space="preserve">2017 </w:t>
      </w:r>
      <w:r w:rsidR="00251106">
        <w:t>= 1</w:t>
      </w:r>
      <w:r w:rsidR="00254E30">
        <w:t>1</w:t>
      </w:r>
      <w:r w:rsidRPr="003E214D">
        <w:t>%</w:t>
      </w:r>
    </w:p>
    <w:p w:rsidR="00CF1E9F" w:rsidRPr="003E214D" w:rsidRDefault="00CF1E9F" w:rsidP="00CF1E9F">
      <w:pPr>
        <w:rPr>
          <w:rFonts w:ascii="Arial" w:hAnsi="Arial" w:cs="Arial"/>
          <w:b/>
        </w:rPr>
      </w:pPr>
    </w:p>
    <w:p w:rsidR="00CF1E9F" w:rsidRPr="003E214D" w:rsidRDefault="00CF1E9F" w:rsidP="00CF1E9F">
      <w:pPr>
        <w:rPr>
          <w:rFonts w:ascii="Arial" w:hAnsi="Arial" w:cs="Arial"/>
          <w:b/>
        </w:rPr>
      </w:pPr>
      <w:r w:rsidRPr="003E214D">
        <w:rPr>
          <w:rFonts w:ascii="Arial" w:hAnsi="Arial" w:cs="Arial"/>
          <w:b/>
        </w:rPr>
        <w:t>DOE</w:t>
      </w:r>
    </w:p>
    <w:p w:rsidR="00CF1E9F" w:rsidRDefault="00CF1E9F" w:rsidP="00CF1E9F">
      <w:r w:rsidRPr="003E214D">
        <w:t>201</w:t>
      </w:r>
      <w:r w:rsidR="00A45C47" w:rsidRPr="003E214D">
        <w:t>6</w:t>
      </w:r>
      <w:r w:rsidRPr="003E214D">
        <w:t xml:space="preserve"> award: $</w:t>
      </w:r>
      <w:r w:rsidR="00A45C47" w:rsidRPr="003E214D">
        <w:t>4,325,258</w:t>
      </w:r>
    </w:p>
    <w:p w:rsidR="009B1F11" w:rsidRPr="003E214D" w:rsidRDefault="009B1F11" w:rsidP="00CF1E9F">
      <w:r>
        <w:t>2017 (</w:t>
      </w:r>
      <w:r w:rsidR="0099748A">
        <w:t>anticipated</w:t>
      </w:r>
      <w:r>
        <w:t xml:space="preserve">) award: </w:t>
      </w:r>
      <w:r w:rsidRPr="003E214D">
        <w:t>$4,325,258</w:t>
      </w:r>
    </w:p>
    <w:p w:rsidR="00CF1E9F" w:rsidRPr="003E214D" w:rsidRDefault="00CF1E9F" w:rsidP="00CF1E9F"/>
    <w:p w:rsidR="00CF1E9F" w:rsidRPr="003E214D" w:rsidRDefault="00CF1E9F" w:rsidP="00CF1E9F">
      <w:r w:rsidRPr="003E214D">
        <w:t xml:space="preserve">% </w:t>
      </w:r>
      <w:r w:rsidR="009B1F11">
        <w:t>change</w:t>
      </w:r>
      <w:r w:rsidR="009B1F11" w:rsidRPr="003E214D">
        <w:t xml:space="preserve"> </w:t>
      </w:r>
      <w:r w:rsidRPr="003E214D">
        <w:t xml:space="preserve">from </w:t>
      </w:r>
      <w:r w:rsidR="009B1F11" w:rsidRPr="003E214D">
        <w:t>201</w:t>
      </w:r>
      <w:r w:rsidR="009B1F11">
        <w:t>6</w:t>
      </w:r>
      <w:r w:rsidR="009B1F11" w:rsidRPr="003E214D">
        <w:t xml:space="preserve"> </w:t>
      </w:r>
      <w:r w:rsidRPr="003E214D">
        <w:t xml:space="preserve">to </w:t>
      </w:r>
      <w:r w:rsidR="009B1F11" w:rsidRPr="003E214D">
        <w:t>201</w:t>
      </w:r>
      <w:r w:rsidR="009B1F11">
        <w:t>7</w:t>
      </w:r>
      <w:r w:rsidR="009B1F11" w:rsidRPr="003E214D">
        <w:t xml:space="preserve"> </w:t>
      </w:r>
      <w:r w:rsidRPr="003E214D">
        <w:t xml:space="preserve">= </w:t>
      </w:r>
      <w:r w:rsidR="009B1F11">
        <w:t>0</w:t>
      </w:r>
      <w:r w:rsidRPr="003E214D">
        <w:t>%</w:t>
      </w:r>
    </w:p>
    <w:p w:rsidR="00CF1E9F" w:rsidRPr="003E214D" w:rsidRDefault="00CF1E9F" w:rsidP="00CF1E9F"/>
    <w:p w:rsidR="00CF1E9F" w:rsidRPr="003E214D" w:rsidRDefault="00CF1E9F" w:rsidP="00CF1E9F">
      <w:pPr>
        <w:rPr>
          <w:rFonts w:ascii="Arial" w:hAnsi="Arial" w:cs="Arial"/>
          <w:b/>
        </w:rPr>
      </w:pPr>
      <w:r w:rsidRPr="003E214D">
        <w:rPr>
          <w:rFonts w:ascii="Arial" w:hAnsi="Arial" w:cs="Arial"/>
          <w:b/>
        </w:rPr>
        <w:t>MATCHMAKER</w:t>
      </w:r>
    </w:p>
    <w:p w:rsidR="00CF1E9F" w:rsidRPr="003E214D" w:rsidRDefault="00CF1E9F" w:rsidP="00CF1E9F"/>
    <w:p w:rsidR="00CF1E9F" w:rsidRPr="003E214D" w:rsidRDefault="00CF1E9F" w:rsidP="00CF1E9F">
      <w:r w:rsidRPr="003E214D">
        <w:t>2013-2015 total regular award = $10,000,000</w:t>
      </w:r>
    </w:p>
    <w:p w:rsidR="00837A6C" w:rsidRPr="003E214D" w:rsidRDefault="00837A6C" w:rsidP="00595D4C">
      <w:pPr>
        <w:ind w:left="3150" w:hanging="3150"/>
      </w:pPr>
      <w:r w:rsidRPr="003E214D">
        <w:t>2015-2017 total regular award</w:t>
      </w:r>
      <w:r w:rsidR="00C4634F">
        <w:t xml:space="preserve"> </w:t>
      </w:r>
      <w:r w:rsidRPr="003E214D">
        <w:t xml:space="preserve">= </w:t>
      </w:r>
      <w:r w:rsidR="00A45C47" w:rsidRPr="003E214D">
        <w:t>$1</w:t>
      </w:r>
      <w:r w:rsidR="00251106">
        <w:t>2</w:t>
      </w:r>
      <w:r w:rsidR="00A45C47" w:rsidRPr="003E214D">
        <w:t>,000,000 ($</w:t>
      </w:r>
      <w:r w:rsidR="00251106">
        <w:t>3</w:t>
      </w:r>
      <w:r w:rsidR="00A45C47" w:rsidRPr="003E214D">
        <w:t xml:space="preserve">,000,000 </w:t>
      </w:r>
      <w:r w:rsidR="00251106">
        <w:t>additional allocation to</w:t>
      </w:r>
      <w:r w:rsidR="00595D4C" w:rsidRPr="003E214D">
        <w:t xml:space="preserve"> be used for Washington’s new </w:t>
      </w:r>
      <w:r w:rsidR="00A45C47" w:rsidRPr="003E214D">
        <w:t>Weatherization Plus Health Initiative)</w:t>
      </w:r>
    </w:p>
    <w:p w:rsidR="00CF1E9F" w:rsidRPr="003E214D" w:rsidRDefault="00CF1E9F" w:rsidP="00CF1E9F"/>
    <w:p w:rsidR="00CF1E9F" w:rsidRPr="00251106" w:rsidRDefault="00CF1E9F" w:rsidP="00CF1E9F">
      <w:pPr>
        <w:rPr>
          <w:color w:val="FF0000"/>
        </w:rPr>
      </w:pPr>
      <w:r w:rsidRPr="003E214D">
        <w:t xml:space="preserve">% </w:t>
      </w:r>
      <w:r w:rsidR="00A45C47" w:rsidRPr="003E214D">
        <w:t>increase</w:t>
      </w:r>
      <w:r w:rsidR="00403736" w:rsidRPr="003E214D">
        <w:t xml:space="preserve"> of weatherization funding</w:t>
      </w:r>
      <w:r w:rsidRPr="003E214D">
        <w:t xml:space="preserve"> from 2013 to 201</w:t>
      </w:r>
      <w:r w:rsidR="00251D85" w:rsidRPr="003E214D">
        <w:t>5</w:t>
      </w:r>
      <w:r w:rsidRPr="003E214D">
        <w:t xml:space="preserve"> = </w:t>
      </w:r>
      <w:r w:rsidR="00251106" w:rsidRPr="008B38B9">
        <w:t>2</w:t>
      </w:r>
      <w:r w:rsidR="00403736" w:rsidRPr="008B38B9">
        <w:t>0%</w:t>
      </w:r>
      <w:r w:rsidR="00251106">
        <w:t xml:space="preserve"> </w:t>
      </w:r>
    </w:p>
    <w:p w:rsidR="001E37DD" w:rsidRDefault="001E37DD" w:rsidP="00F9183E">
      <w:pPr>
        <w:pStyle w:val="BodyText"/>
        <w:jc w:val="center"/>
      </w:pPr>
    </w:p>
    <w:p w:rsidR="001E37DD" w:rsidRPr="001E37DD" w:rsidRDefault="001E37DD" w:rsidP="00F9183E">
      <w:pPr>
        <w:pStyle w:val="BodyText"/>
        <w:jc w:val="center"/>
      </w:pPr>
    </w:p>
    <w:p w:rsidR="00251106" w:rsidRDefault="00251106" w:rsidP="00AC5221">
      <w:pPr>
        <w:pStyle w:val="Heading2"/>
        <w:rPr>
          <w:rFonts w:ascii="Arial" w:hAnsi="Arial" w:cs="Arial"/>
          <w:szCs w:val="24"/>
          <w:u w:val="single"/>
        </w:rPr>
      </w:pPr>
    </w:p>
    <w:p w:rsidR="00251106" w:rsidRDefault="00251106" w:rsidP="00AC5221">
      <w:pPr>
        <w:pStyle w:val="Heading2"/>
        <w:rPr>
          <w:rFonts w:ascii="Arial" w:hAnsi="Arial" w:cs="Arial"/>
          <w:szCs w:val="24"/>
          <w:u w:val="single"/>
        </w:rPr>
      </w:pPr>
    </w:p>
    <w:p w:rsidR="00AC5221" w:rsidRPr="00AC5221" w:rsidRDefault="00C42B15" w:rsidP="00AC5221">
      <w:pPr>
        <w:pStyle w:val="Heading2"/>
        <w:rPr>
          <w:rFonts w:ascii="Arial" w:hAnsi="Arial" w:cs="Arial"/>
          <w:b w:val="0"/>
          <w:szCs w:val="24"/>
        </w:rPr>
      </w:pPr>
      <w:r>
        <w:rPr>
          <w:rFonts w:ascii="Arial" w:hAnsi="Arial" w:cs="Arial"/>
          <w:szCs w:val="24"/>
          <w:u w:val="single"/>
        </w:rPr>
        <w:t>Public Review a</w:t>
      </w:r>
      <w:r w:rsidRPr="00AC5221">
        <w:rPr>
          <w:rFonts w:ascii="Arial" w:hAnsi="Arial" w:cs="Arial"/>
          <w:szCs w:val="24"/>
          <w:u w:val="single"/>
        </w:rPr>
        <w:t>nd Comment</w:t>
      </w:r>
    </w:p>
    <w:p w:rsidR="00AC5221" w:rsidRPr="00DB5BC6" w:rsidRDefault="00AC5221" w:rsidP="00AC5221"/>
    <w:p w:rsidR="00AC5221" w:rsidRPr="00DB5BC6" w:rsidRDefault="00AC5221" w:rsidP="00AC5221">
      <w:pPr>
        <w:rPr>
          <w:b/>
          <w:i/>
        </w:rPr>
      </w:pPr>
      <w:r w:rsidRPr="00DB5BC6">
        <w:rPr>
          <w:b/>
          <w:i/>
        </w:rPr>
        <w:t>45 CFR 96.83(c)(6)</w:t>
      </w:r>
    </w:p>
    <w:p w:rsidR="00AC5221" w:rsidRPr="00DB5BC6" w:rsidRDefault="00AC5221" w:rsidP="00AC5221">
      <w:pPr>
        <w:pStyle w:val="Heading4"/>
        <w:rPr>
          <w:b w:val="0"/>
          <w:u w:val="none"/>
        </w:rPr>
      </w:pPr>
    </w:p>
    <w:p w:rsidR="008B38B9" w:rsidRPr="00DB5BC6" w:rsidRDefault="008B38B9" w:rsidP="008B38B9">
      <w:pPr>
        <w:pStyle w:val="Heading4"/>
        <w:rPr>
          <w:b w:val="0"/>
          <w:u w:val="none"/>
        </w:rPr>
      </w:pPr>
      <w:r w:rsidRPr="00DB5BC6">
        <w:rPr>
          <w:b w:val="0"/>
          <w:u w:val="none"/>
        </w:rPr>
        <w:t xml:space="preserve">A public hearing </w:t>
      </w:r>
      <w:r w:rsidR="00877548">
        <w:rPr>
          <w:b w:val="0"/>
          <w:u w:val="none"/>
        </w:rPr>
        <w:t>is scheduled to be</w:t>
      </w:r>
      <w:r w:rsidR="00877548" w:rsidRPr="00DB5BC6">
        <w:rPr>
          <w:b w:val="0"/>
          <w:u w:val="none"/>
        </w:rPr>
        <w:t xml:space="preserve"> </w:t>
      </w:r>
      <w:r w:rsidRPr="00DB5BC6">
        <w:rPr>
          <w:b w:val="0"/>
          <w:u w:val="none"/>
        </w:rPr>
        <w:t xml:space="preserve">held </w:t>
      </w:r>
      <w:r w:rsidR="006403F9">
        <w:rPr>
          <w:b w:val="0"/>
          <w:u w:val="none"/>
        </w:rPr>
        <w:t xml:space="preserve">at 1:30-3:00pm </w:t>
      </w:r>
      <w:r>
        <w:rPr>
          <w:b w:val="0"/>
          <w:u w:val="none"/>
        </w:rPr>
        <w:t xml:space="preserve">on </w:t>
      </w:r>
      <w:r w:rsidR="00877548">
        <w:rPr>
          <w:b w:val="0"/>
          <w:u w:val="none"/>
        </w:rPr>
        <w:t>Wednesday</w:t>
      </w:r>
      <w:r>
        <w:rPr>
          <w:b w:val="0"/>
          <w:u w:val="none"/>
        </w:rPr>
        <w:t xml:space="preserve">, </w:t>
      </w:r>
      <w:r w:rsidR="00877548">
        <w:rPr>
          <w:b w:val="0"/>
          <w:u w:val="none"/>
        </w:rPr>
        <w:t>May 10, 2017</w:t>
      </w:r>
      <w:r w:rsidR="006403F9">
        <w:rPr>
          <w:b w:val="0"/>
          <w:u w:val="none"/>
        </w:rPr>
        <w:t xml:space="preserve"> at the Department of Commerce in Olympia</w:t>
      </w:r>
      <w:r w:rsidRPr="002D1E5E">
        <w:rPr>
          <w:b w:val="0"/>
          <w:u w:val="none"/>
        </w:rPr>
        <w:t xml:space="preserve">. A news release announcing the waiver application and public hearing </w:t>
      </w:r>
      <w:r w:rsidR="00877548">
        <w:rPr>
          <w:b w:val="0"/>
          <w:u w:val="none"/>
        </w:rPr>
        <w:t xml:space="preserve">will be sent </w:t>
      </w:r>
      <w:r w:rsidR="00877548" w:rsidRPr="002D1E5E">
        <w:rPr>
          <w:b w:val="0"/>
          <w:u w:val="none"/>
        </w:rPr>
        <w:t>electronically</w:t>
      </w:r>
      <w:r w:rsidRPr="002D1E5E">
        <w:rPr>
          <w:b w:val="0"/>
          <w:u w:val="none"/>
        </w:rPr>
        <w:t xml:space="preserve"> to the Commerce stakeholder list serve</w:t>
      </w:r>
      <w:r>
        <w:rPr>
          <w:b w:val="0"/>
          <w:u w:val="none"/>
        </w:rPr>
        <w:t xml:space="preserve">. Legal Notices </w:t>
      </w:r>
      <w:r w:rsidR="00877548">
        <w:rPr>
          <w:b w:val="0"/>
          <w:u w:val="none"/>
        </w:rPr>
        <w:t xml:space="preserve">will </w:t>
      </w:r>
      <w:r>
        <w:rPr>
          <w:b w:val="0"/>
          <w:u w:val="none"/>
        </w:rPr>
        <w:t xml:space="preserve">published 10 calendar days in advance of the public hearing in three Washington </w:t>
      </w:r>
      <w:r w:rsidRPr="002E6764">
        <w:rPr>
          <w:b w:val="0"/>
          <w:u w:val="none"/>
        </w:rPr>
        <w:t>newspapers</w:t>
      </w:r>
      <w:r>
        <w:rPr>
          <w:b w:val="0"/>
          <w:u w:val="none"/>
        </w:rPr>
        <w:t>: Yakima Herald, The Seattle Times and The Spokesman Review</w:t>
      </w:r>
      <w:r w:rsidRPr="002D1E5E">
        <w:rPr>
          <w:b w:val="0"/>
          <w:u w:val="none"/>
        </w:rPr>
        <w:t>. An announcement</w:t>
      </w:r>
      <w:r>
        <w:rPr>
          <w:b w:val="0"/>
          <w:u w:val="none"/>
        </w:rPr>
        <w:t xml:space="preserve"> concerning the public hearing and the LIHEAP Waiver</w:t>
      </w:r>
      <w:r w:rsidRPr="002D1E5E">
        <w:rPr>
          <w:b w:val="0"/>
          <w:u w:val="none"/>
        </w:rPr>
        <w:t xml:space="preserve"> </w:t>
      </w:r>
      <w:r w:rsidR="00877548">
        <w:rPr>
          <w:b w:val="0"/>
          <w:u w:val="none"/>
        </w:rPr>
        <w:t>will be placed</w:t>
      </w:r>
      <w:r w:rsidRPr="00DB5BC6">
        <w:rPr>
          <w:b w:val="0"/>
          <w:u w:val="none"/>
        </w:rPr>
        <w:t xml:space="preserve"> on the Commerce website. A copy of the waiver and news release </w:t>
      </w:r>
      <w:r w:rsidR="00877548">
        <w:rPr>
          <w:b w:val="0"/>
          <w:u w:val="none"/>
        </w:rPr>
        <w:t xml:space="preserve">will be </w:t>
      </w:r>
      <w:r w:rsidR="006403F9">
        <w:rPr>
          <w:b w:val="0"/>
          <w:u w:val="none"/>
        </w:rPr>
        <w:t>sen</w:t>
      </w:r>
      <w:r w:rsidRPr="00DB5BC6">
        <w:rPr>
          <w:b w:val="0"/>
          <w:u w:val="none"/>
        </w:rPr>
        <w:t xml:space="preserve">t to weatherization coordinators, energy assistance coordinators, utility companies, and other interested parties in Washington. </w:t>
      </w:r>
    </w:p>
    <w:p w:rsidR="008B38B9" w:rsidRPr="00DB5BC6" w:rsidRDefault="008B38B9" w:rsidP="008B38B9">
      <w:pPr>
        <w:pStyle w:val="Heading4"/>
        <w:rPr>
          <w:b w:val="0"/>
          <w:u w:val="none"/>
        </w:rPr>
      </w:pPr>
    </w:p>
    <w:p w:rsidR="00D25DF5" w:rsidRDefault="00D25DF5" w:rsidP="00B735A8">
      <w:pPr>
        <w:pStyle w:val="Heading4"/>
        <w:rPr>
          <w:rFonts w:ascii="Arial" w:hAnsi="Arial" w:cs="Arial"/>
        </w:rPr>
      </w:pPr>
    </w:p>
    <w:p w:rsidR="00A82368" w:rsidRDefault="004B4C62" w:rsidP="00B735A8">
      <w:pPr>
        <w:pStyle w:val="Heading4"/>
        <w:rPr>
          <w:rFonts w:ascii="Arial" w:hAnsi="Arial" w:cs="Arial"/>
          <w:b w:val="0"/>
          <w:u w:val="none"/>
        </w:rPr>
      </w:pPr>
      <w:r w:rsidRPr="00716018">
        <w:rPr>
          <w:rFonts w:ascii="Arial" w:hAnsi="Arial" w:cs="Arial"/>
        </w:rPr>
        <w:t>Waiver Request</w:t>
      </w:r>
      <w:r w:rsidR="0043426B" w:rsidRPr="00716018">
        <w:rPr>
          <w:rFonts w:ascii="Arial" w:hAnsi="Arial" w:cs="Arial"/>
          <w:u w:val="none"/>
        </w:rPr>
        <w:t xml:space="preserve"> </w:t>
      </w:r>
    </w:p>
    <w:p w:rsidR="003B1A2B" w:rsidRPr="00555063" w:rsidRDefault="003B1A2B" w:rsidP="003B1A2B">
      <w:pPr>
        <w:rPr>
          <w:rFonts w:ascii="Arial" w:hAnsi="Arial" w:cs="Arial"/>
          <w:b/>
          <w:noProof/>
        </w:rPr>
      </w:pPr>
    </w:p>
    <w:p w:rsidR="00105F45" w:rsidRPr="00BC572F" w:rsidRDefault="005B4074">
      <w:pPr>
        <w:rPr>
          <w:rFonts w:ascii="Arial" w:hAnsi="Arial" w:cs="Arial"/>
          <w:bCs/>
          <w:sz w:val="28"/>
        </w:rPr>
      </w:pPr>
      <w:r w:rsidRPr="00BC572F">
        <w:t xml:space="preserve">The State of </w:t>
      </w:r>
      <w:r w:rsidR="00A82368" w:rsidRPr="00BC572F">
        <w:t xml:space="preserve">Washington Department of </w:t>
      </w:r>
      <w:r w:rsidR="00C16635" w:rsidRPr="00BC572F">
        <w:t>Commerce</w:t>
      </w:r>
      <w:r w:rsidR="00A82368" w:rsidRPr="00BC572F">
        <w:t xml:space="preserve"> request</w:t>
      </w:r>
      <w:r w:rsidRPr="00BC572F">
        <w:t>s</w:t>
      </w:r>
      <w:r w:rsidR="00A82368" w:rsidRPr="00BC572F">
        <w:t xml:space="preserve"> </w:t>
      </w:r>
      <w:r w:rsidR="008655AF" w:rsidRPr="00BC572F">
        <w:t xml:space="preserve">approval of </w:t>
      </w:r>
      <w:r w:rsidR="00F22867" w:rsidRPr="00BC572F">
        <w:t xml:space="preserve">this </w:t>
      </w:r>
      <w:r w:rsidR="004407C5" w:rsidRPr="00BC572F">
        <w:t>Good Cause</w:t>
      </w:r>
      <w:r w:rsidR="0031009C" w:rsidRPr="00BC572F">
        <w:t xml:space="preserve"> </w:t>
      </w:r>
      <w:r w:rsidR="00A82368" w:rsidRPr="00BC572F">
        <w:t>Waiver</w:t>
      </w:r>
      <w:r w:rsidR="007457E2" w:rsidRPr="00BC572F">
        <w:t xml:space="preserve"> request</w:t>
      </w:r>
      <w:r w:rsidR="00A82368" w:rsidRPr="00BC572F">
        <w:t xml:space="preserve"> from the</w:t>
      </w:r>
      <w:r w:rsidRPr="00BC572F">
        <w:t xml:space="preserve"> United States</w:t>
      </w:r>
      <w:r w:rsidR="00A82368" w:rsidRPr="00BC572F">
        <w:t xml:space="preserve"> Department of Health and Human Services to allow an additional 10</w:t>
      </w:r>
      <w:r w:rsidR="00866964" w:rsidRPr="00BC572F">
        <w:t xml:space="preserve"> percent</w:t>
      </w:r>
      <w:r w:rsidR="00A82368" w:rsidRPr="00BC572F">
        <w:t xml:space="preserve"> </w:t>
      </w:r>
      <w:r w:rsidR="004407C5" w:rsidRPr="00BC572F">
        <w:t xml:space="preserve">of the Washington State LIHEAP allocation </w:t>
      </w:r>
      <w:r w:rsidR="00A82368" w:rsidRPr="00BC572F">
        <w:t>to</w:t>
      </w:r>
      <w:r w:rsidR="00BC572F" w:rsidRPr="00BC572F">
        <w:t xml:space="preserve"> be transferred for weatherization services.</w:t>
      </w:r>
      <w:r w:rsidR="004407C5" w:rsidRPr="00BC572F">
        <w:t xml:space="preserve"> We believe</w:t>
      </w:r>
      <w:r w:rsidR="00BC572F">
        <w:t xml:space="preserve"> this request outlin</w:t>
      </w:r>
      <w:r w:rsidR="00C4634F">
        <w:t>in</w:t>
      </w:r>
      <w:r w:rsidR="00BC572F">
        <w:t>g</w:t>
      </w:r>
      <w:r w:rsidR="00BC572F" w:rsidRPr="00BC572F">
        <w:t xml:space="preserve"> all the c</w:t>
      </w:r>
      <w:r w:rsidR="007457E2" w:rsidRPr="00BC572F">
        <w:t>riteria in 45 CFR 96.83</w:t>
      </w:r>
      <w:r w:rsidR="009C6FF9" w:rsidRPr="00BC572F">
        <w:t>(</w:t>
      </w:r>
      <w:r w:rsidR="00BC572F" w:rsidRPr="00BC572F">
        <w:t>e</w:t>
      </w:r>
      <w:r w:rsidR="009C6FF9" w:rsidRPr="00BC572F">
        <w:t xml:space="preserve">) </w:t>
      </w:r>
      <w:r w:rsidR="00BC572F" w:rsidRPr="00BC572F">
        <w:t xml:space="preserve">for a Good Cause Waiver </w:t>
      </w:r>
      <w:r w:rsidR="00853ABF" w:rsidRPr="00BC572F">
        <w:t>have been met</w:t>
      </w:r>
      <w:r w:rsidR="00F529EE" w:rsidRPr="00BC572F">
        <w:t xml:space="preserve">. </w:t>
      </w:r>
      <w:r w:rsidR="00F07670" w:rsidRPr="00BC572F">
        <w:t>Ap</w:t>
      </w:r>
      <w:r w:rsidR="00B24F46" w:rsidRPr="00BC572F">
        <w:t xml:space="preserve">proval of the Waiver will allow </w:t>
      </w:r>
      <w:r w:rsidR="00F07670" w:rsidRPr="00BC572F">
        <w:t>Washington</w:t>
      </w:r>
      <w:r w:rsidR="00B24F46" w:rsidRPr="00BC572F">
        <w:t xml:space="preserve"> State to allocate 25</w:t>
      </w:r>
      <w:r w:rsidR="00866964" w:rsidRPr="00BC572F">
        <w:t xml:space="preserve"> percent</w:t>
      </w:r>
      <w:r w:rsidR="00B24F46" w:rsidRPr="00BC572F">
        <w:t xml:space="preserve"> of its </w:t>
      </w:r>
      <w:r w:rsidR="00A82368" w:rsidRPr="00BC572F">
        <w:t xml:space="preserve">LIHEAP funds </w:t>
      </w:r>
      <w:r w:rsidR="00F07670" w:rsidRPr="00BC572F">
        <w:t>for</w:t>
      </w:r>
      <w:r w:rsidR="00B24F46" w:rsidRPr="00BC572F">
        <w:t xml:space="preserve"> weatherizing the homes of its</w:t>
      </w:r>
      <w:r w:rsidR="00336F00" w:rsidRPr="00BC572F">
        <w:t xml:space="preserve"> most vulnerable households</w:t>
      </w:r>
      <w:r w:rsidR="00A82368" w:rsidRPr="00BC572F">
        <w:t>.</w:t>
      </w:r>
      <w:r w:rsidR="00105F45" w:rsidRPr="00BC572F">
        <w:br w:type="page"/>
      </w:r>
    </w:p>
    <w:p w:rsidR="00803655" w:rsidRDefault="00803655" w:rsidP="00D93C94">
      <w:pPr>
        <w:rPr>
          <w:rFonts w:ascii="Arial" w:hAnsi="Arial" w:cs="Arial"/>
          <w:bCs/>
          <w:color w:val="0D0D0D" w:themeColor="text1" w:themeTint="F2"/>
        </w:rPr>
      </w:pPr>
      <w:bookmarkStart w:id="1" w:name="Exhibit5_1A"/>
      <w:bookmarkStart w:id="2" w:name="Exhibit5_1A_pg2"/>
      <w:bookmarkEnd w:id="1"/>
      <w:bookmarkEnd w:id="2"/>
    </w:p>
    <w:p w:rsidR="00D93C94" w:rsidRPr="00851903" w:rsidRDefault="00803655" w:rsidP="00803655">
      <w:pPr>
        <w:jc w:val="center"/>
        <w:rPr>
          <w:rFonts w:ascii="Arial" w:hAnsi="Arial" w:cs="Arial"/>
          <w:b/>
          <w:bCs/>
          <w:color w:val="0D0D0D" w:themeColor="text1" w:themeTint="F2"/>
          <w:sz w:val="32"/>
          <w:szCs w:val="32"/>
        </w:rPr>
      </w:pPr>
      <w:r w:rsidRPr="00851903">
        <w:rPr>
          <w:rFonts w:ascii="Arial" w:hAnsi="Arial" w:cs="Arial"/>
          <w:b/>
          <w:bCs/>
          <w:color w:val="0D0D0D" w:themeColor="text1" w:themeTint="F2"/>
          <w:sz w:val="32"/>
          <w:szCs w:val="32"/>
        </w:rPr>
        <w:t>Exhibit A</w:t>
      </w:r>
    </w:p>
    <w:p w:rsidR="00803655" w:rsidRPr="00803655" w:rsidRDefault="00803655" w:rsidP="00D93C94">
      <w:pPr>
        <w:rPr>
          <w:rFonts w:ascii="Arial" w:hAnsi="Arial" w:cs="Arial"/>
          <w:b/>
          <w:bCs/>
          <w:color w:val="0D0D0D" w:themeColor="text1" w:themeTint="F2"/>
          <w:sz w:val="28"/>
          <w:szCs w:val="28"/>
        </w:rPr>
      </w:pPr>
    </w:p>
    <w:p w:rsidR="00803655" w:rsidRDefault="00803655" w:rsidP="008F6D08">
      <w:pPr>
        <w:jc w:val="center"/>
        <w:rPr>
          <w:rFonts w:ascii="Arial" w:hAnsi="Arial" w:cs="Arial"/>
          <w:b/>
          <w:bCs/>
          <w:color w:val="0D0D0D" w:themeColor="text1" w:themeTint="F2"/>
          <w:sz w:val="28"/>
          <w:szCs w:val="28"/>
        </w:rPr>
      </w:pPr>
      <w:r w:rsidRPr="00851903">
        <w:rPr>
          <w:rFonts w:ascii="Arial" w:hAnsi="Arial" w:cs="Arial"/>
          <w:b/>
          <w:bCs/>
          <w:color w:val="0D0D0D" w:themeColor="text1" w:themeTint="F2"/>
          <w:sz w:val="28"/>
          <w:szCs w:val="28"/>
        </w:rPr>
        <w:t xml:space="preserve">Sample </w:t>
      </w:r>
      <w:r w:rsidR="000056E9" w:rsidRPr="00851903">
        <w:rPr>
          <w:rFonts w:ascii="Arial" w:hAnsi="Arial" w:cs="Arial"/>
          <w:b/>
          <w:bCs/>
          <w:color w:val="0D0D0D" w:themeColor="text1" w:themeTint="F2"/>
          <w:sz w:val="28"/>
          <w:szCs w:val="28"/>
        </w:rPr>
        <w:t>Priority List (1 of 20 DOE approved Priority Lists</w:t>
      </w:r>
      <w:r w:rsidRPr="00851903">
        <w:rPr>
          <w:rFonts w:ascii="Arial" w:hAnsi="Arial" w:cs="Arial"/>
          <w:b/>
          <w:bCs/>
          <w:color w:val="0D0D0D" w:themeColor="text1" w:themeTint="F2"/>
          <w:sz w:val="28"/>
          <w:szCs w:val="28"/>
        </w:rPr>
        <w:t>)</w:t>
      </w:r>
    </w:p>
    <w:p w:rsidR="008F6D08" w:rsidRPr="00851903" w:rsidRDefault="008F6D08" w:rsidP="008F6D08">
      <w:pPr>
        <w:jc w:val="center"/>
        <w:rPr>
          <w:rFonts w:ascii="Arial" w:hAnsi="Arial" w:cs="Arial"/>
          <w:b/>
          <w:bCs/>
          <w:color w:val="0D0D0D" w:themeColor="text1" w:themeTint="F2"/>
          <w:sz w:val="28"/>
          <w:szCs w:val="28"/>
        </w:rPr>
      </w:pPr>
    </w:p>
    <w:p w:rsidR="00803655" w:rsidRPr="00851903" w:rsidRDefault="00803655" w:rsidP="008F6D08">
      <w:pPr>
        <w:ind w:left="720"/>
        <w:jc w:val="center"/>
        <w:rPr>
          <w:rFonts w:ascii="Arial" w:hAnsi="Arial" w:cs="Arial"/>
          <w:b/>
          <w:bCs/>
          <w:color w:val="0D0D0D" w:themeColor="text1" w:themeTint="F2"/>
          <w:sz w:val="28"/>
          <w:szCs w:val="28"/>
        </w:rPr>
      </w:pPr>
      <w:r w:rsidRPr="00851903">
        <w:rPr>
          <w:rFonts w:ascii="Arial" w:hAnsi="Arial" w:cs="Arial"/>
          <w:b/>
          <w:bCs/>
          <w:color w:val="0D0D0D" w:themeColor="text1" w:themeTint="F2"/>
          <w:sz w:val="28"/>
          <w:szCs w:val="28"/>
        </w:rPr>
        <w:t>This Priority List is for an electrically heated, 1-story, site-built home in Washington State climate zone 1.</w:t>
      </w:r>
    </w:p>
    <w:p w:rsidR="00803655" w:rsidRDefault="00803655" w:rsidP="00803655">
      <w:pPr>
        <w:rPr>
          <w:rFonts w:ascii="Arial" w:hAnsi="Arial" w:cs="Arial"/>
          <w:bCs/>
          <w:color w:val="0D0D0D" w:themeColor="text1" w:themeTint="F2"/>
        </w:rPr>
      </w:pPr>
    </w:p>
    <w:p w:rsidR="00803655" w:rsidRDefault="00803655" w:rsidP="00803655">
      <w:pPr>
        <w:rPr>
          <w:rFonts w:ascii="Arial" w:hAnsi="Arial" w:cs="Arial"/>
          <w:bCs/>
          <w:color w:val="0D0D0D" w:themeColor="text1" w:themeTint="F2"/>
        </w:rPr>
      </w:pPr>
    </w:p>
    <w:p w:rsidR="00803655" w:rsidRDefault="00803655" w:rsidP="00803655">
      <w:pPr>
        <w:rPr>
          <w:rFonts w:ascii="Arial" w:hAnsi="Arial" w:cs="Arial"/>
          <w:bCs/>
          <w:color w:val="0D0D0D" w:themeColor="text1" w:themeTint="F2"/>
        </w:rPr>
      </w:pPr>
    </w:p>
    <w:p w:rsidR="00803655" w:rsidRDefault="00803655" w:rsidP="00803655">
      <w:pPr>
        <w:rPr>
          <w:rFonts w:ascii="Arial" w:hAnsi="Arial" w:cs="Arial"/>
          <w:bCs/>
          <w:color w:val="0D0D0D" w:themeColor="text1" w:themeTint="F2"/>
        </w:rPr>
      </w:pPr>
    </w:p>
    <w:p w:rsidR="00803655" w:rsidRDefault="00803655" w:rsidP="00803655">
      <w:pPr>
        <w:rPr>
          <w:rFonts w:ascii="Arial" w:hAnsi="Arial" w:cs="Arial"/>
          <w:bCs/>
          <w:color w:val="0D0D0D" w:themeColor="text1" w:themeTint="F2"/>
        </w:rPr>
      </w:pPr>
    </w:p>
    <w:p w:rsidR="00803655" w:rsidRPr="00381C86" w:rsidRDefault="00CC3142" w:rsidP="00803655">
      <w:pPr>
        <w:jc w:val="center"/>
        <w:rPr>
          <w:rFonts w:ascii="Arial" w:hAnsi="Arial" w:cs="Arial"/>
          <w:bCs/>
          <w:color w:val="0D0D0D" w:themeColor="text1" w:themeTint="F2"/>
        </w:rPr>
      </w:pPr>
      <w:r w:rsidRPr="00CC3142">
        <w:rPr>
          <w:noProof/>
        </w:rPr>
        <w:drawing>
          <wp:inline distT="0" distB="0" distL="0" distR="0" wp14:anchorId="68A312C5" wp14:editId="5313FE62">
            <wp:extent cx="2914650" cy="3686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3686175"/>
                    </a:xfrm>
                    <a:prstGeom prst="rect">
                      <a:avLst/>
                    </a:prstGeom>
                    <a:noFill/>
                    <a:ln>
                      <a:noFill/>
                    </a:ln>
                  </pic:spPr>
                </pic:pic>
              </a:graphicData>
            </a:graphic>
          </wp:inline>
        </w:drawing>
      </w:r>
    </w:p>
    <w:sectPr w:rsidR="00803655" w:rsidRPr="00381C86" w:rsidSect="00A57107">
      <w:footerReference w:type="even" r:id="rId11"/>
      <w:footerReference w:type="default" r:id="rId12"/>
      <w:pgSz w:w="12240" w:h="15840" w:code="1"/>
      <w:pgMar w:top="1440" w:right="1008" w:bottom="1008"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301" w:rsidRDefault="004B7301">
      <w:r>
        <w:separator/>
      </w:r>
    </w:p>
  </w:endnote>
  <w:endnote w:type="continuationSeparator" w:id="0">
    <w:p w:rsidR="004B7301" w:rsidRDefault="004B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59" w:rsidRDefault="00845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5859" w:rsidRDefault="008458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59" w:rsidRPr="00787358" w:rsidRDefault="00845859" w:rsidP="00FD2861">
    <w:pPr>
      <w:pStyle w:val="Footer"/>
      <w:tabs>
        <w:tab w:val="clear" w:pos="8640"/>
        <w:tab w:val="right" w:pos="9360"/>
      </w:tabs>
      <w:rPr>
        <w:sz w:val="16"/>
        <w:szCs w:val="16"/>
      </w:rPr>
    </w:pPr>
    <w:r>
      <w:rPr>
        <w:sz w:val="16"/>
        <w:szCs w:val="16"/>
      </w:rPr>
      <w:t>State of Washington 201</w:t>
    </w:r>
    <w:r w:rsidR="005B3757">
      <w:rPr>
        <w:sz w:val="16"/>
        <w:szCs w:val="16"/>
      </w:rPr>
      <w:t>7</w:t>
    </w:r>
    <w:r w:rsidRPr="00787358">
      <w:rPr>
        <w:sz w:val="16"/>
        <w:szCs w:val="16"/>
      </w:rPr>
      <w:t xml:space="preserve"> LIHEAP Weatherization Waiver</w:t>
    </w:r>
    <w:r>
      <w:rPr>
        <w:sz w:val="16"/>
        <w:szCs w:val="16"/>
      </w:rPr>
      <w:t xml:space="preserve"> Request</w:t>
    </w:r>
    <w:r>
      <w:rPr>
        <w:sz w:val="16"/>
        <w:szCs w:val="16"/>
      </w:rPr>
      <w:tab/>
    </w:r>
    <w:r w:rsidRPr="00787358">
      <w:rPr>
        <w:sz w:val="16"/>
        <w:szCs w:val="16"/>
      </w:rPr>
      <w:t xml:space="preserve">Page </w:t>
    </w:r>
    <w:r w:rsidRPr="00787358">
      <w:rPr>
        <w:b/>
        <w:sz w:val="16"/>
        <w:szCs w:val="16"/>
      </w:rPr>
      <w:fldChar w:fldCharType="begin"/>
    </w:r>
    <w:r w:rsidRPr="00787358">
      <w:rPr>
        <w:b/>
        <w:sz w:val="16"/>
        <w:szCs w:val="16"/>
      </w:rPr>
      <w:instrText xml:space="preserve"> PAGE </w:instrText>
    </w:r>
    <w:r w:rsidRPr="00787358">
      <w:rPr>
        <w:b/>
        <w:sz w:val="16"/>
        <w:szCs w:val="16"/>
      </w:rPr>
      <w:fldChar w:fldCharType="separate"/>
    </w:r>
    <w:r w:rsidR="00317BFC">
      <w:rPr>
        <w:b/>
        <w:noProof/>
        <w:sz w:val="16"/>
        <w:szCs w:val="16"/>
      </w:rPr>
      <w:t>1</w:t>
    </w:r>
    <w:r w:rsidRPr="00787358">
      <w:rPr>
        <w:b/>
        <w:sz w:val="16"/>
        <w:szCs w:val="16"/>
      </w:rPr>
      <w:fldChar w:fldCharType="end"/>
    </w:r>
    <w:r w:rsidRPr="00787358">
      <w:rPr>
        <w:sz w:val="16"/>
        <w:szCs w:val="16"/>
      </w:rPr>
      <w:t xml:space="preserve"> of </w:t>
    </w:r>
    <w:r>
      <w:rPr>
        <w:b/>
        <w:sz w:val="16"/>
        <w:szCs w:val="16"/>
      </w:rPr>
      <w:t>1</w:t>
    </w:r>
    <w:r w:rsidR="00E93B46">
      <w:rPr>
        <w:b/>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301" w:rsidRDefault="004B7301">
      <w:r>
        <w:separator/>
      </w:r>
    </w:p>
  </w:footnote>
  <w:footnote w:type="continuationSeparator" w:id="0">
    <w:p w:rsidR="004B7301" w:rsidRDefault="004B7301">
      <w:r>
        <w:continuationSeparator/>
      </w:r>
    </w:p>
  </w:footnote>
  <w:footnote w:id="1">
    <w:p w:rsidR="001B39C3" w:rsidRPr="00820C0C" w:rsidRDefault="001B39C3" w:rsidP="001B39C3">
      <w:r>
        <w:rPr>
          <w:rStyle w:val="FootnoteReference"/>
        </w:rPr>
        <w:footnoteRef/>
      </w:r>
      <w:r>
        <w:t xml:space="preserve"> </w:t>
      </w:r>
      <w:r w:rsidRPr="00BB7265">
        <w:rPr>
          <w:sz w:val="20"/>
          <w:szCs w:val="20"/>
        </w:rPr>
        <w:t>Direct unit costs are the labor and materials costs associated with installing weatherization measures for a project. They do not include Program administration costs or other Program operation costs not directly associated with installation</w:t>
      </w:r>
      <w:r>
        <w:rPr>
          <w:sz w:val="20"/>
          <w:szCs w:val="20"/>
        </w:rPr>
        <w:t xml:space="preserve">. </w:t>
      </w:r>
      <w:r w:rsidRPr="00820C0C">
        <w:t xml:space="preserve"> </w:t>
      </w:r>
    </w:p>
    <w:p w:rsidR="001B39C3" w:rsidRDefault="001B39C3" w:rsidP="001B39C3">
      <w:pPr>
        <w:pStyle w:val="FootnoteText"/>
      </w:pPr>
    </w:p>
  </w:footnote>
  <w:footnote w:id="2">
    <w:p w:rsidR="001B39C3" w:rsidRDefault="001B39C3" w:rsidP="001B39C3">
      <w:pPr>
        <w:pStyle w:val="FootnoteText"/>
      </w:pPr>
      <w:r>
        <w:rPr>
          <w:rStyle w:val="FootnoteReference"/>
        </w:rPr>
        <w:footnoteRef/>
      </w:r>
      <w:r>
        <w:t xml:space="preserve"> The scenarios vary some of the economic assumptions and the Program administration and operating costs to identify the potential benefit- cost ratio range from a worst to </w:t>
      </w:r>
      <w:r w:rsidR="0022351F">
        <w:t>best-case</w:t>
      </w:r>
      <w:r>
        <w:t xml:space="preserve"> scenario.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CD3"/>
    <w:multiLevelType w:val="hybridMultilevel"/>
    <w:tmpl w:val="5454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790D"/>
    <w:multiLevelType w:val="hybridMultilevel"/>
    <w:tmpl w:val="8FF42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967BB"/>
    <w:multiLevelType w:val="hybridMultilevel"/>
    <w:tmpl w:val="6108C3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8673A"/>
    <w:multiLevelType w:val="hybridMultilevel"/>
    <w:tmpl w:val="D44036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794386"/>
    <w:multiLevelType w:val="hybridMultilevel"/>
    <w:tmpl w:val="81143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426F2"/>
    <w:multiLevelType w:val="hybridMultilevel"/>
    <w:tmpl w:val="9AF2E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95846"/>
    <w:multiLevelType w:val="hybridMultilevel"/>
    <w:tmpl w:val="4AB43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041DD0"/>
    <w:multiLevelType w:val="hybridMultilevel"/>
    <w:tmpl w:val="DCA8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144BF"/>
    <w:multiLevelType w:val="hybridMultilevel"/>
    <w:tmpl w:val="5036B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24896"/>
    <w:multiLevelType w:val="hybridMultilevel"/>
    <w:tmpl w:val="E55EC6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55CC1"/>
    <w:multiLevelType w:val="hybridMultilevel"/>
    <w:tmpl w:val="5E08D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691D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3D4A0F"/>
    <w:multiLevelType w:val="hybridMultilevel"/>
    <w:tmpl w:val="55343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E55FF"/>
    <w:multiLevelType w:val="hybridMultilevel"/>
    <w:tmpl w:val="B406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747C9"/>
    <w:multiLevelType w:val="hybridMultilevel"/>
    <w:tmpl w:val="6462995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A154D2F"/>
    <w:multiLevelType w:val="hybridMultilevel"/>
    <w:tmpl w:val="B3CAC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14842"/>
    <w:multiLevelType w:val="hybridMultilevel"/>
    <w:tmpl w:val="FF5A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40174"/>
    <w:multiLevelType w:val="hybridMultilevel"/>
    <w:tmpl w:val="CCDE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9A14B2"/>
    <w:multiLevelType w:val="hybridMultilevel"/>
    <w:tmpl w:val="8A0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A6A46"/>
    <w:multiLevelType w:val="hybridMultilevel"/>
    <w:tmpl w:val="9C20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52677"/>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9553A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6D52EC"/>
    <w:multiLevelType w:val="hybridMultilevel"/>
    <w:tmpl w:val="DD685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5370B"/>
    <w:multiLevelType w:val="hybridMultilevel"/>
    <w:tmpl w:val="C8DA0F1C"/>
    <w:lvl w:ilvl="0" w:tplc="13F88986">
      <w:start w:val="1"/>
      <w:numFmt w:val="decimal"/>
      <w:lvlText w:val="%1."/>
      <w:lvlJc w:val="left"/>
      <w:pPr>
        <w:tabs>
          <w:tab w:val="num" w:pos="-360"/>
        </w:tabs>
        <w:ind w:left="-360" w:hanging="360"/>
      </w:pPr>
    </w:lvl>
    <w:lvl w:ilvl="1" w:tplc="6212DDA8" w:tentative="1">
      <w:start w:val="1"/>
      <w:numFmt w:val="decimal"/>
      <w:lvlText w:val="%2."/>
      <w:lvlJc w:val="left"/>
      <w:pPr>
        <w:tabs>
          <w:tab w:val="num" w:pos="360"/>
        </w:tabs>
        <w:ind w:left="360" w:hanging="360"/>
      </w:pPr>
    </w:lvl>
    <w:lvl w:ilvl="2" w:tplc="F1B075B6" w:tentative="1">
      <w:start w:val="1"/>
      <w:numFmt w:val="decimal"/>
      <w:lvlText w:val="%3."/>
      <w:lvlJc w:val="left"/>
      <w:pPr>
        <w:tabs>
          <w:tab w:val="num" w:pos="1080"/>
        </w:tabs>
        <w:ind w:left="1080" w:hanging="360"/>
      </w:pPr>
    </w:lvl>
    <w:lvl w:ilvl="3" w:tplc="5A968B46" w:tentative="1">
      <w:start w:val="1"/>
      <w:numFmt w:val="decimal"/>
      <w:lvlText w:val="%4."/>
      <w:lvlJc w:val="left"/>
      <w:pPr>
        <w:tabs>
          <w:tab w:val="num" w:pos="1800"/>
        </w:tabs>
        <w:ind w:left="1800" w:hanging="360"/>
      </w:pPr>
    </w:lvl>
    <w:lvl w:ilvl="4" w:tplc="98625290" w:tentative="1">
      <w:start w:val="1"/>
      <w:numFmt w:val="decimal"/>
      <w:lvlText w:val="%5."/>
      <w:lvlJc w:val="left"/>
      <w:pPr>
        <w:tabs>
          <w:tab w:val="num" w:pos="2520"/>
        </w:tabs>
        <w:ind w:left="2520" w:hanging="360"/>
      </w:pPr>
    </w:lvl>
    <w:lvl w:ilvl="5" w:tplc="B1023082" w:tentative="1">
      <w:start w:val="1"/>
      <w:numFmt w:val="decimal"/>
      <w:lvlText w:val="%6."/>
      <w:lvlJc w:val="left"/>
      <w:pPr>
        <w:tabs>
          <w:tab w:val="num" w:pos="3240"/>
        </w:tabs>
        <w:ind w:left="3240" w:hanging="360"/>
      </w:pPr>
    </w:lvl>
    <w:lvl w:ilvl="6" w:tplc="5E52FFEC" w:tentative="1">
      <w:start w:val="1"/>
      <w:numFmt w:val="decimal"/>
      <w:lvlText w:val="%7."/>
      <w:lvlJc w:val="left"/>
      <w:pPr>
        <w:tabs>
          <w:tab w:val="num" w:pos="3960"/>
        </w:tabs>
        <w:ind w:left="3960" w:hanging="360"/>
      </w:pPr>
    </w:lvl>
    <w:lvl w:ilvl="7" w:tplc="CFA6CA4C" w:tentative="1">
      <w:start w:val="1"/>
      <w:numFmt w:val="decimal"/>
      <w:lvlText w:val="%8."/>
      <w:lvlJc w:val="left"/>
      <w:pPr>
        <w:tabs>
          <w:tab w:val="num" w:pos="4680"/>
        </w:tabs>
        <w:ind w:left="4680" w:hanging="360"/>
      </w:pPr>
    </w:lvl>
    <w:lvl w:ilvl="8" w:tplc="5B3EB572" w:tentative="1">
      <w:start w:val="1"/>
      <w:numFmt w:val="decimal"/>
      <w:lvlText w:val="%9."/>
      <w:lvlJc w:val="left"/>
      <w:pPr>
        <w:tabs>
          <w:tab w:val="num" w:pos="5400"/>
        </w:tabs>
        <w:ind w:left="5400" w:hanging="360"/>
      </w:pPr>
    </w:lvl>
  </w:abstractNum>
  <w:abstractNum w:abstractNumId="24" w15:restartNumberingAfterBreak="0">
    <w:nsid w:val="6D435FED"/>
    <w:multiLevelType w:val="hybridMultilevel"/>
    <w:tmpl w:val="AE36D516"/>
    <w:lvl w:ilvl="0" w:tplc="5366CA3A">
      <w:start w:val="1"/>
      <w:numFmt w:val="bullet"/>
      <w:lvlText w:val="•"/>
      <w:lvlJc w:val="left"/>
      <w:pPr>
        <w:tabs>
          <w:tab w:val="num" w:pos="720"/>
        </w:tabs>
        <w:ind w:left="720" w:hanging="360"/>
      </w:pPr>
      <w:rPr>
        <w:rFonts w:ascii="Arial" w:hAnsi="Arial" w:hint="default"/>
      </w:rPr>
    </w:lvl>
    <w:lvl w:ilvl="1" w:tplc="B22CAE32" w:tentative="1">
      <w:start w:val="1"/>
      <w:numFmt w:val="bullet"/>
      <w:lvlText w:val="•"/>
      <w:lvlJc w:val="left"/>
      <w:pPr>
        <w:tabs>
          <w:tab w:val="num" w:pos="1440"/>
        </w:tabs>
        <w:ind w:left="1440" w:hanging="360"/>
      </w:pPr>
      <w:rPr>
        <w:rFonts w:ascii="Arial" w:hAnsi="Arial" w:hint="default"/>
      </w:rPr>
    </w:lvl>
    <w:lvl w:ilvl="2" w:tplc="5EC2B19A" w:tentative="1">
      <w:start w:val="1"/>
      <w:numFmt w:val="bullet"/>
      <w:lvlText w:val="•"/>
      <w:lvlJc w:val="left"/>
      <w:pPr>
        <w:tabs>
          <w:tab w:val="num" w:pos="2160"/>
        </w:tabs>
        <w:ind w:left="2160" w:hanging="360"/>
      </w:pPr>
      <w:rPr>
        <w:rFonts w:ascii="Arial" w:hAnsi="Arial" w:hint="default"/>
      </w:rPr>
    </w:lvl>
    <w:lvl w:ilvl="3" w:tplc="E6BEA714" w:tentative="1">
      <w:start w:val="1"/>
      <w:numFmt w:val="bullet"/>
      <w:lvlText w:val="•"/>
      <w:lvlJc w:val="left"/>
      <w:pPr>
        <w:tabs>
          <w:tab w:val="num" w:pos="2880"/>
        </w:tabs>
        <w:ind w:left="2880" w:hanging="360"/>
      </w:pPr>
      <w:rPr>
        <w:rFonts w:ascii="Arial" w:hAnsi="Arial" w:hint="default"/>
      </w:rPr>
    </w:lvl>
    <w:lvl w:ilvl="4" w:tplc="48044112" w:tentative="1">
      <w:start w:val="1"/>
      <w:numFmt w:val="bullet"/>
      <w:lvlText w:val="•"/>
      <w:lvlJc w:val="left"/>
      <w:pPr>
        <w:tabs>
          <w:tab w:val="num" w:pos="3600"/>
        </w:tabs>
        <w:ind w:left="3600" w:hanging="360"/>
      </w:pPr>
      <w:rPr>
        <w:rFonts w:ascii="Arial" w:hAnsi="Arial" w:hint="default"/>
      </w:rPr>
    </w:lvl>
    <w:lvl w:ilvl="5" w:tplc="B9BE2CFE" w:tentative="1">
      <w:start w:val="1"/>
      <w:numFmt w:val="bullet"/>
      <w:lvlText w:val="•"/>
      <w:lvlJc w:val="left"/>
      <w:pPr>
        <w:tabs>
          <w:tab w:val="num" w:pos="4320"/>
        </w:tabs>
        <w:ind w:left="4320" w:hanging="360"/>
      </w:pPr>
      <w:rPr>
        <w:rFonts w:ascii="Arial" w:hAnsi="Arial" w:hint="default"/>
      </w:rPr>
    </w:lvl>
    <w:lvl w:ilvl="6" w:tplc="6D667146" w:tentative="1">
      <w:start w:val="1"/>
      <w:numFmt w:val="bullet"/>
      <w:lvlText w:val="•"/>
      <w:lvlJc w:val="left"/>
      <w:pPr>
        <w:tabs>
          <w:tab w:val="num" w:pos="5040"/>
        </w:tabs>
        <w:ind w:left="5040" w:hanging="360"/>
      </w:pPr>
      <w:rPr>
        <w:rFonts w:ascii="Arial" w:hAnsi="Arial" w:hint="default"/>
      </w:rPr>
    </w:lvl>
    <w:lvl w:ilvl="7" w:tplc="EADCBE7A" w:tentative="1">
      <w:start w:val="1"/>
      <w:numFmt w:val="bullet"/>
      <w:lvlText w:val="•"/>
      <w:lvlJc w:val="left"/>
      <w:pPr>
        <w:tabs>
          <w:tab w:val="num" w:pos="5760"/>
        </w:tabs>
        <w:ind w:left="5760" w:hanging="360"/>
      </w:pPr>
      <w:rPr>
        <w:rFonts w:ascii="Arial" w:hAnsi="Arial" w:hint="default"/>
      </w:rPr>
    </w:lvl>
    <w:lvl w:ilvl="8" w:tplc="080AAF42" w:tentative="1">
      <w:start w:val="1"/>
      <w:numFmt w:val="bullet"/>
      <w:lvlText w:val="•"/>
      <w:lvlJc w:val="left"/>
      <w:pPr>
        <w:tabs>
          <w:tab w:val="num" w:pos="6480"/>
        </w:tabs>
        <w:ind w:left="6480" w:hanging="360"/>
      </w:pPr>
      <w:rPr>
        <w:rFonts w:ascii="Arial" w:hAnsi="Arial" w:hint="default"/>
      </w:rPr>
    </w:lvl>
  </w:abstractNum>
  <w:num w:numId="1">
    <w:abstractNumId w:val="20"/>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1"/>
  </w:num>
  <w:num w:numId="5">
    <w:abstractNumId w:val="14"/>
  </w:num>
  <w:num w:numId="6">
    <w:abstractNumId w:val="5"/>
  </w:num>
  <w:num w:numId="7">
    <w:abstractNumId w:val="22"/>
  </w:num>
  <w:num w:numId="8">
    <w:abstractNumId w:val="1"/>
  </w:num>
  <w:num w:numId="9">
    <w:abstractNumId w:val="9"/>
  </w:num>
  <w:num w:numId="10">
    <w:abstractNumId w:val="3"/>
  </w:num>
  <w:num w:numId="11">
    <w:abstractNumId w:val="23"/>
  </w:num>
  <w:num w:numId="12">
    <w:abstractNumId w:val="10"/>
  </w:num>
  <w:num w:numId="13">
    <w:abstractNumId w:val="18"/>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24"/>
  </w:num>
  <w:num w:numId="19">
    <w:abstractNumId w:val="2"/>
  </w:num>
  <w:num w:numId="20">
    <w:abstractNumId w:val="15"/>
  </w:num>
  <w:num w:numId="21">
    <w:abstractNumId w:val="7"/>
  </w:num>
  <w:num w:numId="22">
    <w:abstractNumId w:val="16"/>
  </w:num>
  <w:num w:numId="23">
    <w:abstractNumId w:val="8"/>
  </w:num>
  <w:num w:numId="24">
    <w:abstractNumId w:val="12"/>
  </w:num>
  <w:num w:numId="25">
    <w:abstractNumId w:val="17"/>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C2"/>
    <w:rsid w:val="0000154F"/>
    <w:rsid w:val="0000195B"/>
    <w:rsid w:val="00002030"/>
    <w:rsid w:val="00004883"/>
    <w:rsid w:val="00004D76"/>
    <w:rsid w:val="000054F0"/>
    <w:rsid w:val="000056E9"/>
    <w:rsid w:val="00005BAA"/>
    <w:rsid w:val="000060BD"/>
    <w:rsid w:val="00006BED"/>
    <w:rsid w:val="00007621"/>
    <w:rsid w:val="00007B85"/>
    <w:rsid w:val="0001004E"/>
    <w:rsid w:val="00010553"/>
    <w:rsid w:val="00010CF5"/>
    <w:rsid w:val="00011A87"/>
    <w:rsid w:val="00011BCE"/>
    <w:rsid w:val="00011E7F"/>
    <w:rsid w:val="000122D4"/>
    <w:rsid w:val="000127AE"/>
    <w:rsid w:val="00012F75"/>
    <w:rsid w:val="00013400"/>
    <w:rsid w:val="00013F79"/>
    <w:rsid w:val="000146EA"/>
    <w:rsid w:val="00014C00"/>
    <w:rsid w:val="00014E1B"/>
    <w:rsid w:val="00015C99"/>
    <w:rsid w:val="00017110"/>
    <w:rsid w:val="00021B06"/>
    <w:rsid w:val="00023F26"/>
    <w:rsid w:val="00024B2F"/>
    <w:rsid w:val="000264EC"/>
    <w:rsid w:val="00026524"/>
    <w:rsid w:val="0002748C"/>
    <w:rsid w:val="000308C9"/>
    <w:rsid w:val="00031224"/>
    <w:rsid w:val="00031748"/>
    <w:rsid w:val="0003242E"/>
    <w:rsid w:val="000324BC"/>
    <w:rsid w:val="0003328B"/>
    <w:rsid w:val="00033943"/>
    <w:rsid w:val="000342B3"/>
    <w:rsid w:val="0003494B"/>
    <w:rsid w:val="000351B1"/>
    <w:rsid w:val="0003541C"/>
    <w:rsid w:val="000409ED"/>
    <w:rsid w:val="000420D9"/>
    <w:rsid w:val="00043D5B"/>
    <w:rsid w:val="000442C4"/>
    <w:rsid w:val="0004480B"/>
    <w:rsid w:val="00044E14"/>
    <w:rsid w:val="00046140"/>
    <w:rsid w:val="000478CB"/>
    <w:rsid w:val="000500AA"/>
    <w:rsid w:val="00050B9D"/>
    <w:rsid w:val="00050FEC"/>
    <w:rsid w:val="000515E1"/>
    <w:rsid w:val="00051B1F"/>
    <w:rsid w:val="00052E7B"/>
    <w:rsid w:val="00053165"/>
    <w:rsid w:val="0005414D"/>
    <w:rsid w:val="0005610B"/>
    <w:rsid w:val="00057258"/>
    <w:rsid w:val="0006017A"/>
    <w:rsid w:val="0006061F"/>
    <w:rsid w:val="0006201C"/>
    <w:rsid w:val="00063329"/>
    <w:rsid w:val="00063D12"/>
    <w:rsid w:val="000654EA"/>
    <w:rsid w:val="0006575B"/>
    <w:rsid w:val="00065B33"/>
    <w:rsid w:val="00066089"/>
    <w:rsid w:val="000703A3"/>
    <w:rsid w:val="00071E1B"/>
    <w:rsid w:val="00072097"/>
    <w:rsid w:val="00073C60"/>
    <w:rsid w:val="00074103"/>
    <w:rsid w:val="00074786"/>
    <w:rsid w:val="0007609E"/>
    <w:rsid w:val="00076472"/>
    <w:rsid w:val="00076C01"/>
    <w:rsid w:val="000773C3"/>
    <w:rsid w:val="0008228A"/>
    <w:rsid w:val="00083094"/>
    <w:rsid w:val="00083CB9"/>
    <w:rsid w:val="00084FDB"/>
    <w:rsid w:val="000854C3"/>
    <w:rsid w:val="000900E6"/>
    <w:rsid w:val="00090358"/>
    <w:rsid w:val="00090BE4"/>
    <w:rsid w:val="00092F1A"/>
    <w:rsid w:val="00094FF5"/>
    <w:rsid w:val="000952C4"/>
    <w:rsid w:val="0009550F"/>
    <w:rsid w:val="00095655"/>
    <w:rsid w:val="00095BD8"/>
    <w:rsid w:val="00096B36"/>
    <w:rsid w:val="000A155C"/>
    <w:rsid w:val="000A1616"/>
    <w:rsid w:val="000A21E4"/>
    <w:rsid w:val="000A3F0F"/>
    <w:rsid w:val="000A6C01"/>
    <w:rsid w:val="000B0688"/>
    <w:rsid w:val="000B084B"/>
    <w:rsid w:val="000B212B"/>
    <w:rsid w:val="000B2620"/>
    <w:rsid w:val="000B28E8"/>
    <w:rsid w:val="000B378B"/>
    <w:rsid w:val="000B48B9"/>
    <w:rsid w:val="000B4DD5"/>
    <w:rsid w:val="000B5CC1"/>
    <w:rsid w:val="000B68F6"/>
    <w:rsid w:val="000B6ADF"/>
    <w:rsid w:val="000B7670"/>
    <w:rsid w:val="000C03A2"/>
    <w:rsid w:val="000C2071"/>
    <w:rsid w:val="000C4564"/>
    <w:rsid w:val="000C5744"/>
    <w:rsid w:val="000C64FD"/>
    <w:rsid w:val="000C6989"/>
    <w:rsid w:val="000D019F"/>
    <w:rsid w:val="000D0AAA"/>
    <w:rsid w:val="000D0F01"/>
    <w:rsid w:val="000D1842"/>
    <w:rsid w:val="000D1E9A"/>
    <w:rsid w:val="000D273C"/>
    <w:rsid w:val="000D3F02"/>
    <w:rsid w:val="000D4D21"/>
    <w:rsid w:val="000D5E99"/>
    <w:rsid w:val="000E12CA"/>
    <w:rsid w:val="000E3108"/>
    <w:rsid w:val="000E37A1"/>
    <w:rsid w:val="000E38C3"/>
    <w:rsid w:val="000E48A9"/>
    <w:rsid w:val="000E49F0"/>
    <w:rsid w:val="000E65CB"/>
    <w:rsid w:val="000E684D"/>
    <w:rsid w:val="000E6A21"/>
    <w:rsid w:val="000E7E32"/>
    <w:rsid w:val="000F0B10"/>
    <w:rsid w:val="000F1A2D"/>
    <w:rsid w:val="000F1E8C"/>
    <w:rsid w:val="000F2301"/>
    <w:rsid w:val="000F2477"/>
    <w:rsid w:val="000F2725"/>
    <w:rsid w:val="000F30E8"/>
    <w:rsid w:val="000F3A16"/>
    <w:rsid w:val="000F6139"/>
    <w:rsid w:val="001009B1"/>
    <w:rsid w:val="00100A4C"/>
    <w:rsid w:val="00102961"/>
    <w:rsid w:val="00102C56"/>
    <w:rsid w:val="001035FA"/>
    <w:rsid w:val="00103C4D"/>
    <w:rsid w:val="0010523F"/>
    <w:rsid w:val="00105792"/>
    <w:rsid w:val="0010581C"/>
    <w:rsid w:val="00105F45"/>
    <w:rsid w:val="00106610"/>
    <w:rsid w:val="001077D8"/>
    <w:rsid w:val="0011110F"/>
    <w:rsid w:val="0011182E"/>
    <w:rsid w:val="001122D5"/>
    <w:rsid w:val="00112F0E"/>
    <w:rsid w:val="001141AF"/>
    <w:rsid w:val="00115BEF"/>
    <w:rsid w:val="00120AA0"/>
    <w:rsid w:val="00122110"/>
    <w:rsid w:val="00122133"/>
    <w:rsid w:val="00122C99"/>
    <w:rsid w:val="00123381"/>
    <w:rsid w:val="001235CB"/>
    <w:rsid w:val="00123A0F"/>
    <w:rsid w:val="00124941"/>
    <w:rsid w:val="001268B2"/>
    <w:rsid w:val="00130C15"/>
    <w:rsid w:val="0013143D"/>
    <w:rsid w:val="001322DD"/>
    <w:rsid w:val="00132C9D"/>
    <w:rsid w:val="00134523"/>
    <w:rsid w:val="00135485"/>
    <w:rsid w:val="00137CF1"/>
    <w:rsid w:val="001406BB"/>
    <w:rsid w:val="00140851"/>
    <w:rsid w:val="001425BE"/>
    <w:rsid w:val="001432BD"/>
    <w:rsid w:val="00144B10"/>
    <w:rsid w:val="001465F0"/>
    <w:rsid w:val="00146979"/>
    <w:rsid w:val="00147DF0"/>
    <w:rsid w:val="00151466"/>
    <w:rsid w:val="0015435D"/>
    <w:rsid w:val="001544FF"/>
    <w:rsid w:val="0015468B"/>
    <w:rsid w:val="00155801"/>
    <w:rsid w:val="0015750F"/>
    <w:rsid w:val="001578DA"/>
    <w:rsid w:val="00160AFC"/>
    <w:rsid w:val="0016410F"/>
    <w:rsid w:val="00164116"/>
    <w:rsid w:val="00166E03"/>
    <w:rsid w:val="00170A0B"/>
    <w:rsid w:val="00171B06"/>
    <w:rsid w:val="00171D34"/>
    <w:rsid w:val="001733D7"/>
    <w:rsid w:val="001737FE"/>
    <w:rsid w:val="00174038"/>
    <w:rsid w:val="00176907"/>
    <w:rsid w:val="001801B4"/>
    <w:rsid w:val="00181E4D"/>
    <w:rsid w:val="00182F10"/>
    <w:rsid w:val="00183A51"/>
    <w:rsid w:val="001840CD"/>
    <w:rsid w:val="001841DD"/>
    <w:rsid w:val="00184278"/>
    <w:rsid w:val="001868E4"/>
    <w:rsid w:val="001871C7"/>
    <w:rsid w:val="00190325"/>
    <w:rsid w:val="001906C9"/>
    <w:rsid w:val="001922EA"/>
    <w:rsid w:val="0019239A"/>
    <w:rsid w:val="00192B91"/>
    <w:rsid w:val="00193DC0"/>
    <w:rsid w:val="00195F5B"/>
    <w:rsid w:val="00197374"/>
    <w:rsid w:val="0019781B"/>
    <w:rsid w:val="001A060C"/>
    <w:rsid w:val="001A2473"/>
    <w:rsid w:val="001A31BA"/>
    <w:rsid w:val="001A37B7"/>
    <w:rsid w:val="001A3FD1"/>
    <w:rsid w:val="001A4B5C"/>
    <w:rsid w:val="001A5489"/>
    <w:rsid w:val="001A76F7"/>
    <w:rsid w:val="001B03E9"/>
    <w:rsid w:val="001B1197"/>
    <w:rsid w:val="001B2F8D"/>
    <w:rsid w:val="001B39C3"/>
    <w:rsid w:val="001B44EC"/>
    <w:rsid w:val="001B45C6"/>
    <w:rsid w:val="001B5861"/>
    <w:rsid w:val="001B6845"/>
    <w:rsid w:val="001B6FE8"/>
    <w:rsid w:val="001B7FEA"/>
    <w:rsid w:val="001C00AA"/>
    <w:rsid w:val="001C2226"/>
    <w:rsid w:val="001C2754"/>
    <w:rsid w:val="001C3A60"/>
    <w:rsid w:val="001C3B9A"/>
    <w:rsid w:val="001C3EA3"/>
    <w:rsid w:val="001C5457"/>
    <w:rsid w:val="001C76E5"/>
    <w:rsid w:val="001D097D"/>
    <w:rsid w:val="001D1273"/>
    <w:rsid w:val="001D1EA7"/>
    <w:rsid w:val="001D2D79"/>
    <w:rsid w:val="001D36F2"/>
    <w:rsid w:val="001D45DD"/>
    <w:rsid w:val="001D4787"/>
    <w:rsid w:val="001D5E9C"/>
    <w:rsid w:val="001D60C0"/>
    <w:rsid w:val="001D6FCD"/>
    <w:rsid w:val="001E02C6"/>
    <w:rsid w:val="001E2868"/>
    <w:rsid w:val="001E37DD"/>
    <w:rsid w:val="001E3BE2"/>
    <w:rsid w:val="001E4D9F"/>
    <w:rsid w:val="001E56A8"/>
    <w:rsid w:val="001E64D9"/>
    <w:rsid w:val="001E64F2"/>
    <w:rsid w:val="001E6F4E"/>
    <w:rsid w:val="001E768D"/>
    <w:rsid w:val="001E7CC7"/>
    <w:rsid w:val="001E7E31"/>
    <w:rsid w:val="001F0A32"/>
    <w:rsid w:val="001F0C11"/>
    <w:rsid w:val="001F2D03"/>
    <w:rsid w:val="001F357B"/>
    <w:rsid w:val="001F39CD"/>
    <w:rsid w:val="001F3A31"/>
    <w:rsid w:val="001F4B67"/>
    <w:rsid w:val="001F6913"/>
    <w:rsid w:val="001F6AD9"/>
    <w:rsid w:val="001F74B9"/>
    <w:rsid w:val="0020202C"/>
    <w:rsid w:val="002022A4"/>
    <w:rsid w:val="00202695"/>
    <w:rsid w:val="0020288E"/>
    <w:rsid w:val="00202A5A"/>
    <w:rsid w:val="002033A6"/>
    <w:rsid w:val="00203C08"/>
    <w:rsid w:val="00204178"/>
    <w:rsid w:val="00205F75"/>
    <w:rsid w:val="00207B54"/>
    <w:rsid w:val="002109D0"/>
    <w:rsid w:val="00211875"/>
    <w:rsid w:val="00211E76"/>
    <w:rsid w:val="00216835"/>
    <w:rsid w:val="002173AB"/>
    <w:rsid w:val="00217786"/>
    <w:rsid w:val="0022182E"/>
    <w:rsid w:val="0022290D"/>
    <w:rsid w:val="0022351F"/>
    <w:rsid w:val="00223C39"/>
    <w:rsid w:val="00225ED5"/>
    <w:rsid w:val="00226D24"/>
    <w:rsid w:val="00230E51"/>
    <w:rsid w:val="00231C2F"/>
    <w:rsid w:val="0023249A"/>
    <w:rsid w:val="00232CB6"/>
    <w:rsid w:val="00233AB2"/>
    <w:rsid w:val="002358A5"/>
    <w:rsid w:val="00235B8C"/>
    <w:rsid w:val="00236627"/>
    <w:rsid w:val="00237A73"/>
    <w:rsid w:val="00237DD6"/>
    <w:rsid w:val="00240018"/>
    <w:rsid w:val="00241221"/>
    <w:rsid w:val="00242B6A"/>
    <w:rsid w:val="00242F88"/>
    <w:rsid w:val="0024362F"/>
    <w:rsid w:val="00245E56"/>
    <w:rsid w:val="0024603D"/>
    <w:rsid w:val="00246F3D"/>
    <w:rsid w:val="00247B03"/>
    <w:rsid w:val="00250216"/>
    <w:rsid w:val="00250383"/>
    <w:rsid w:val="00250A3F"/>
    <w:rsid w:val="00251106"/>
    <w:rsid w:val="00251824"/>
    <w:rsid w:val="00251D85"/>
    <w:rsid w:val="00252048"/>
    <w:rsid w:val="00252102"/>
    <w:rsid w:val="0025222A"/>
    <w:rsid w:val="00252ADB"/>
    <w:rsid w:val="00253061"/>
    <w:rsid w:val="002535A8"/>
    <w:rsid w:val="002537C3"/>
    <w:rsid w:val="002547A0"/>
    <w:rsid w:val="00254E30"/>
    <w:rsid w:val="00255332"/>
    <w:rsid w:val="00255EBF"/>
    <w:rsid w:val="00255F14"/>
    <w:rsid w:val="00256BC6"/>
    <w:rsid w:val="00256E1F"/>
    <w:rsid w:val="00257A72"/>
    <w:rsid w:val="00260CE5"/>
    <w:rsid w:val="00260EA4"/>
    <w:rsid w:val="002612F1"/>
    <w:rsid w:val="00261463"/>
    <w:rsid w:val="00261796"/>
    <w:rsid w:val="00264611"/>
    <w:rsid w:val="0026521B"/>
    <w:rsid w:val="002663E9"/>
    <w:rsid w:val="00267648"/>
    <w:rsid w:val="002705B6"/>
    <w:rsid w:val="00270B9B"/>
    <w:rsid w:val="00273D07"/>
    <w:rsid w:val="002743CD"/>
    <w:rsid w:val="00275F02"/>
    <w:rsid w:val="002762D2"/>
    <w:rsid w:val="00276473"/>
    <w:rsid w:val="00276767"/>
    <w:rsid w:val="002776C5"/>
    <w:rsid w:val="002779FD"/>
    <w:rsid w:val="00280C6B"/>
    <w:rsid w:val="0028128E"/>
    <w:rsid w:val="00282E03"/>
    <w:rsid w:val="00283AA3"/>
    <w:rsid w:val="002841B7"/>
    <w:rsid w:val="00285109"/>
    <w:rsid w:val="00285DF1"/>
    <w:rsid w:val="00285E76"/>
    <w:rsid w:val="002875DF"/>
    <w:rsid w:val="00287882"/>
    <w:rsid w:val="00287A49"/>
    <w:rsid w:val="00287D29"/>
    <w:rsid w:val="00290528"/>
    <w:rsid w:val="00295D5D"/>
    <w:rsid w:val="00296466"/>
    <w:rsid w:val="00296F63"/>
    <w:rsid w:val="002A0E95"/>
    <w:rsid w:val="002A1FBA"/>
    <w:rsid w:val="002A231B"/>
    <w:rsid w:val="002A6E54"/>
    <w:rsid w:val="002B13E2"/>
    <w:rsid w:val="002B17A1"/>
    <w:rsid w:val="002B2B9A"/>
    <w:rsid w:val="002B30D8"/>
    <w:rsid w:val="002B35EE"/>
    <w:rsid w:val="002B4430"/>
    <w:rsid w:val="002B46B9"/>
    <w:rsid w:val="002C046C"/>
    <w:rsid w:val="002C0876"/>
    <w:rsid w:val="002C11D9"/>
    <w:rsid w:val="002C1A34"/>
    <w:rsid w:val="002C2C78"/>
    <w:rsid w:val="002C4109"/>
    <w:rsid w:val="002C4287"/>
    <w:rsid w:val="002C5F87"/>
    <w:rsid w:val="002C666A"/>
    <w:rsid w:val="002C71F3"/>
    <w:rsid w:val="002C7718"/>
    <w:rsid w:val="002D0C8A"/>
    <w:rsid w:val="002D1C82"/>
    <w:rsid w:val="002D1E5E"/>
    <w:rsid w:val="002D29C2"/>
    <w:rsid w:val="002D3792"/>
    <w:rsid w:val="002D3793"/>
    <w:rsid w:val="002D3F70"/>
    <w:rsid w:val="002D3FCF"/>
    <w:rsid w:val="002D4EEA"/>
    <w:rsid w:val="002D62A4"/>
    <w:rsid w:val="002D7421"/>
    <w:rsid w:val="002D7E27"/>
    <w:rsid w:val="002D7F8E"/>
    <w:rsid w:val="002E0868"/>
    <w:rsid w:val="002E08ED"/>
    <w:rsid w:val="002E269D"/>
    <w:rsid w:val="002E31A6"/>
    <w:rsid w:val="002E3B13"/>
    <w:rsid w:val="002E508F"/>
    <w:rsid w:val="002E5BC7"/>
    <w:rsid w:val="002E61C7"/>
    <w:rsid w:val="002E62BA"/>
    <w:rsid w:val="002E6764"/>
    <w:rsid w:val="002E67F6"/>
    <w:rsid w:val="002F0410"/>
    <w:rsid w:val="002F1882"/>
    <w:rsid w:val="002F2258"/>
    <w:rsid w:val="002F4765"/>
    <w:rsid w:val="002F49FF"/>
    <w:rsid w:val="002F4A52"/>
    <w:rsid w:val="002F4FAB"/>
    <w:rsid w:val="002F6893"/>
    <w:rsid w:val="00301DFD"/>
    <w:rsid w:val="00302869"/>
    <w:rsid w:val="00303610"/>
    <w:rsid w:val="00303DB7"/>
    <w:rsid w:val="00304E30"/>
    <w:rsid w:val="003052B3"/>
    <w:rsid w:val="0030648B"/>
    <w:rsid w:val="003065FE"/>
    <w:rsid w:val="00306CC6"/>
    <w:rsid w:val="00306D41"/>
    <w:rsid w:val="0031009C"/>
    <w:rsid w:val="00310202"/>
    <w:rsid w:val="0031109C"/>
    <w:rsid w:val="003133C5"/>
    <w:rsid w:val="003134DF"/>
    <w:rsid w:val="00313BB0"/>
    <w:rsid w:val="00313F5F"/>
    <w:rsid w:val="00315773"/>
    <w:rsid w:val="003157FA"/>
    <w:rsid w:val="00315E07"/>
    <w:rsid w:val="00316834"/>
    <w:rsid w:val="00316A79"/>
    <w:rsid w:val="00317A30"/>
    <w:rsid w:val="00317BFC"/>
    <w:rsid w:val="00320B5A"/>
    <w:rsid w:val="00321B36"/>
    <w:rsid w:val="003221CD"/>
    <w:rsid w:val="00322265"/>
    <w:rsid w:val="003227FF"/>
    <w:rsid w:val="00323EF4"/>
    <w:rsid w:val="0032407C"/>
    <w:rsid w:val="003240C6"/>
    <w:rsid w:val="00325E79"/>
    <w:rsid w:val="00325F87"/>
    <w:rsid w:val="00326EA8"/>
    <w:rsid w:val="003278D2"/>
    <w:rsid w:val="003314ED"/>
    <w:rsid w:val="0033198C"/>
    <w:rsid w:val="003327D9"/>
    <w:rsid w:val="00332F3B"/>
    <w:rsid w:val="00333D2A"/>
    <w:rsid w:val="0033444E"/>
    <w:rsid w:val="003349D4"/>
    <w:rsid w:val="00335F94"/>
    <w:rsid w:val="0033637A"/>
    <w:rsid w:val="003366CF"/>
    <w:rsid w:val="00336F00"/>
    <w:rsid w:val="00340EE4"/>
    <w:rsid w:val="00342467"/>
    <w:rsid w:val="00342507"/>
    <w:rsid w:val="003439B7"/>
    <w:rsid w:val="00343A4D"/>
    <w:rsid w:val="0034595B"/>
    <w:rsid w:val="00346370"/>
    <w:rsid w:val="0035252D"/>
    <w:rsid w:val="00352C83"/>
    <w:rsid w:val="00355087"/>
    <w:rsid w:val="00355147"/>
    <w:rsid w:val="00355C7A"/>
    <w:rsid w:val="003564A0"/>
    <w:rsid w:val="0035798B"/>
    <w:rsid w:val="0036015C"/>
    <w:rsid w:val="00360D6A"/>
    <w:rsid w:val="00360F36"/>
    <w:rsid w:val="00361400"/>
    <w:rsid w:val="00363908"/>
    <w:rsid w:val="00364043"/>
    <w:rsid w:val="00371390"/>
    <w:rsid w:val="003719D0"/>
    <w:rsid w:val="00372609"/>
    <w:rsid w:val="00372C0E"/>
    <w:rsid w:val="00372F66"/>
    <w:rsid w:val="003739FA"/>
    <w:rsid w:val="00374B02"/>
    <w:rsid w:val="00375275"/>
    <w:rsid w:val="0037582C"/>
    <w:rsid w:val="00375AD5"/>
    <w:rsid w:val="003771F4"/>
    <w:rsid w:val="00377758"/>
    <w:rsid w:val="003777C9"/>
    <w:rsid w:val="0038150E"/>
    <w:rsid w:val="00381C86"/>
    <w:rsid w:val="00382447"/>
    <w:rsid w:val="0038292C"/>
    <w:rsid w:val="003852FE"/>
    <w:rsid w:val="00385A8B"/>
    <w:rsid w:val="00386574"/>
    <w:rsid w:val="00387EF4"/>
    <w:rsid w:val="003912B6"/>
    <w:rsid w:val="00391452"/>
    <w:rsid w:val="00391F61"/>
    <w:rsid w:val="00392881"/>
    <w:rsid w:val="00392BBB"/>
    <w:rsid w:val="0039381C"/>
    <w:rsid w:val="00393B5E"/>
    <w:rsid w:val="0039511F"/>
    <w:rsid w:val="00395710"/>
    <w:rsid w:val="0039574B"/>
    <w:rsid w:val="003957E4"/>
    <w:rsid w:val="00396E62"/>
    <w:rsid w:val="003970C6"/>
    <w:rsid w:val="003A232B"/>
    <w:rsid w:val="003A507D"/>
    <w:rsid w:val="003A6DF7"/>
    <w:rsid w:val="003A7D4A"/>
    <w:rsid w:val="003B0A8A"/>
    <w:rsid w:val="003B11A8"/>
    <w:rsid w:val="003B1A2B"/>
    <w:rsid w:val="003B31B0"/>
    <w:rsid w:val="003B4196"/>
    <w:rsid w:val="003B5C26"/>
    <w:rsid w:val="003B7A56"/>
    <w:rsid w:val="003B7BA6"/>
    <w:rsid w:val="003C0FE0"/>
    <w:rsid w:val="003C1FA9"/>
    <w:rsid w:val="003C23A5"/>
    <w:rsid w:val="003C263A"/>
    <w:rsid w:val="003C326C"/>
    <w:rsid w:val="003C3CE0"/>
    <w:rsid w:val="003C4497"/>
    <w:rsid w:val="003C7289"/>
    <w:rsid w:val="003D001F"/>
    <w:rsid w:val="003D0362"/>
    <w:rsid w:val="003D0A15"/>
    <w:rsid w:val="003D4F99"/>
    <w:rsid w:val="003D6596"/>
    <w:rsid w:val="003D78B7"/>
    <w:rsid w:val="003E0512"/>
    <w:rsid w:val="003E1ED3"/>
    <w:rsid w:val="003E214D"/>
    <w:rsid w:val="003E2544"/>
    <w:rsid w:val="003E2889"/>
    <w:rsid w:val="003E51E4"/>
    <w:rsid w:val="003E59BC"/>
    <w:rsid w:val="003E617E"/>
    <w:rsid w:val="003E646F"/>
    <w:rsid w:val="003E6E18"/>
    <w:rsid w:val="003F0414"/>
    <w:rsid w:val="003F1CF3"/>
    <w:rsid w:val="003F37D7"/>
    <w:rsid w:val="003F4657"/>
    <w:rsid w:val="003F5196"/>
    <w:rsid w:val="003F5B90"/>
    <w:rsid w:val="003F77F0"/>
    <w:rsid w:val="003F7CBE"/>
    <w:rsid w:val="00400315"/>
    <w:rsid w:val="00400373"/>
    <w:rsid w:val="00400DC8"/>
    <w:rsid w:val="004015C8"/>
    <w:rsid w:val="00401B42"/>
    <w:rsid w:val="00402892"/>
    <w:rsid w:val="00403736"/>
    <w:rsid w:val="0040513A"/>
    <w:rsid w:val="00407C33"/>
    <w:rsid w:val="0041004C"/>
    <w:rsid w:val="00411C54"/>
    <w:rsid w:val="00412C5A"/>
    <w:rsid w:val="00413AE4"/>
    <w:rsid w:val="00414112"/>
    <w:rsid w:val="0041574E"/>
    <w:rsid w:val="00415E33"/>
    <w:rsid w:val="00417CBD"/>
    <w:rsid w:val="00417DBA"/>
    <w:rsid w:val="0042422A"/>
    <w:rsid w:val="0042487B"/>
    <w:rsid w:val="00424A6B"/>
    <w:rsid w:val="0042503D"/>
    <w:rsid w:val="004265E0"/>
    <w:rsid w:val="0043060D"/>
    <w:rsid w:val="00431B40"/>
    <w:rsid w:val="00431F28"/>
    <w:rsid w:val="00432EAD"/>
    <w:rsid w:val="0043426B"/>
    <w:rsid w:val="0043470B"/>
    <w:rsid w:val="00437014"/>
    <w:rsid w:val="004373EF"/>
    <w:rsid w:val="00437782"/>
    <w:rsid w:val="004407C5"/>
    <w:rsid w:val="0044091A"/>
    <w:rsid w:val="004409A2"/>
    <w:rsid w:val="00441E80"/>
    <w:rsid w:val="00443AFC"/>
    <w:rsid w:val="00443B63"/>
    <w:rsid w:val="00444E4E"/>
    <w:rsid w:val="0044579A"/>
    <w:rsid w:val="00447DB3"/>
    <w:rsid w:val="00447F48"/>
    <w:rsid w:val="0045064C"/>
    <w:rsid w:val="0045087E"/>
    <w:rsid w:val="00450F12"/>
    <w:rsid w:val="00453018"/>
    <w:rsid w:val="0045377E"/>
    <w:rsid w:val="00453E17"/>
    <w:rsid w:val="0045400B"/>
    <w:rsid w:val="004540A8"/>
    <w:rsid w:val="00455604"/>
    <w:rsid w:val="00456B80"/>
    <w:rsid w:val="00457C83"/>
    <w:rsid w:val="00460468"/>
    <w:rsid w:val="0046204D"/>
    <w:rsid w:val="00462476"/>
    <w:rsid w:val="00462C38"/>
    <w:rsid w:val="0046339D"/>
    <w:rsid w:val="004635B1"/>
    <w:rsid w:val="0046396E"/>
    <w:rsid w:val="0046605C"/>
    <w:rsid w:val="0046698A"/>
    <w:rsid w:val="0046704D"/>
    <w:rsid w:val="00471E05"/>
    <w:rsid w:val="00472579"/>
    <w:rsid w:val="00472767"/>
    <w:rsid w:val="00473EDF"/>
    <w:rsid w:val="004746D4"/>
    <w:rsid w:val="0047533B"/>
    <w:rsid w:val="00475AE0"/>
    <w:rsid w:val="00475EA5"/>
    <w:rsid w:val="00477E93"/>
    <w:rsid w:val="004800EC"/>
    <w:rsid w:val="00480F5C"/>
    <w:rsid w:val="00481D26"/>
    <w:rsid w:val="00482074"/>
    <w:rsid w:val="004854A0"/>
    <w:rsid w:val="00486CC0"/>
    <w:rsid w:val="00487004"/>
    <w:rsid w:val="00487D4A"/>
    <w:rsid w:val="004914BA"/>
    <w:rsid w:val="00493147"/>
    <w:rsid w:val="00495463"/>
    <w:rsid w:val="0049572C"/>
    <w:rsid w:val="004958CD"/>
    <w:rsid w:val="00497039"/>
    <w:rsid w:val="00497427"/>
    <w:rsid w:val="00497ABC"/>
    <w:rsid w:val="004A05A2"/>
    <w:rsid w:val="004A12BF"/>
    <w:rsid w:val="004A1350"/>
    <w:rsid w:val="004A1F6D"/>
    <w:rsid w:val="004A48F8"/>
    <w:rsid w:val="004A5677"/>
    <w:rsid w:val="004A5B8A"/>
    <w:rsid w:val="004A7099"/>
    <w:rsid w:val="004B0CD1"/>
    <w:rsid w:val="004B0F2F"/>
    <w:rsid w:val="004B26B3"/>
    <w:rsid w:val="004B36C9"/>
    <w:rsid w:val="004B4B0C"/>
    <w:rsid w:val="004B4C62"/>
    <w:rsid w:val="004B4ECC"/>
    <w:rsid w:val="004B72A2"/>
    <w:rsid w:val="004B7301"/>
    <w:rsid w:val="004C0B8A"/>
    <w:rsid w:val="004C165C"/>
    <w:rsid w:val="004C4EDC"/>
    <w:rsid w:val="004C4F27"/>
    <w:rsid w:val="004C507D"/>
    <w:rsid w:val="004C584C"/>
    <w:rsid w:val="004C5BEB"/>
    <w:rsid w:val="004C6213"/>
    <w:rsid w:val="004C67E6"/>
    <w:rsid w:val="004C6825"/>
    <w:rsid w:val="004C6FE2"/>
    <w:rsid w:val="004C71BD"/>
    <w:rsid w:val="004D142A"/>
    <w:rsid w:val="004D1500"/>
    <w:rsid w:val="004D17B2"/>
    <w:rsid w:val="004D21B7"/>
    <w:rsid w:val="004D2902"/>
    <w:rsid w:val="004D354E"/>
    <w:rsid w:val="004D3671"/>
    <w:rsid w:val="004D3787"/>
    <w:rsid w:val="004D3A0B"/>
    <w:rsid w:val="004D4692"/>
    <w:rsid w:val="004D5B1D"/>
    <w:rsid w:val="004E0016"/>
    <w:rsid w:val="004E1132"/>
    <w:rsid w:val="004E3AFC"/>
    <w:rsid w:val="004E447A"/>
    <w:rsid w:val="004E60B5"/>
    <w:rsid w:val="004E7551"/>
    <w:rsid w:val="004E7595"/>
    <w:rsid w:val="004F0617"/>
    <w:rsid w:val="004F0687"/>
    <w:rsid w:val="004F1781"/>
    <w:rsid w:val="004F1B4B"/>
    <w:rsid w:val="004F3178"/>
    <w:rsid w:val="004F3529"/>
    <w:rsid w:val="004F4801"/>
    <w:rsid w:val="005011CA"/>
    <w:rsid w:val="00501292"/>
    <w:rsid w:val="00501944"/>
    <w:rsid w:val="00503744"/>
    <w:rsid w:val="00503F43"/>
    <w:rsid w:val="0050718B"/>
    <w:rsid w:val="00507410"/>
    <w:rsid w:val="00507668"/>
    <w:rsid w:val="00510A45"/>
    <w:rsid w:val="00511456"/>
    <w:rsid w:val="00511B41"/>
    <w:rsid w:val="00511BE2"/>
    <w:rsid w:val="00514BAE"/>
    <w:rsid w:val="00514D1C"/>
    <w:rsid w:val="00516237"/>
    <w:rsid w:val="00521D61"/>
    <w:rsid w:val="005257EA"/>
    <w:rsid w:val="00526B13"/>
    <w:rsid w:val="00527CEC"/>
    <w:rsid w:val="005305BC"/>
    <w:rsid w:val="00531603"/>
    <w:rsid w:val="005321B0"/>
    <w:rsid w:val="00533887"/>
    <w:rsid w:val="005349C3"/>
    <w:rsid w:val="00535D15"/>
    <w:rsid w:val="00541CBC"/>
    <w:rsid w:val="00542AFE"/>
    <w:rsid w:val="00542B1B"/>
    <w:rsid w:val="0054361D"/>
    <w:rsid w:val="005447C9"/>
    <w:rsid w:val="005468E6"/>
    <w:rsid w:val="005469C1"/>
    <w:rsid w:val="00546A9A"/>
    <w:rsid w:val="005471D9"/>
    <w:rsid w:val="00547C7A"/>
    <w:rsid w:val="00547F07"/>
    <w:rsid w:val="005501CB"/>
    <w:rsid w:val="00550AF6"/>
    <w:rsid w:val="00553006"/>
    <w:rsid w:val="00554342"/>
    <w:rsid w:val="00554CD5"/>
    <w:rsid w:val="00554FE7"/>
    <w:rsid w:val="00555063"/>
    <w:rsid w:val="005560C0"/>
    <w:rsid w:val="005603EC"/>
    <w:rsid w:val="00560DD4"/>
    <w:rsid w:val="00561315"/>
    <w:rsid w:val="00562B05"/>
    <w:rsid w:val="0056332E"/>
    <w:rsid w:val="00563A8A"/>
    <w:rsid w:val="00563D0A"/>
    <w:rsid w:val="005642DD"/>
    <w:rsid w:val="00564753"/>
    <w:rsid w:val="005652B4"/>
    <w:rsid w:val="00565814"/>
    <w:rsid w:val="00565B48"/>
    <w:rsid w:val="00566794"/>
    <w:rsid w:val="0056681D"/>
    <w:rsid w:val="005669D5"/>
    <w:rsid w:val="00567028"/>
    <w:rsid w:val="00567A8A"/>
    <w:rsid w:val="00571476"/>
    <w:rsid w:val="0057318C"/>
    <w:rsid w:val="005749F5"/>
    <w:rsid w:val="00574EA3"/>
    <w:rsid w:val="00574EC6"/>
    <w:rsid w:val="00575239"/>
    <w:rsid w:val="00575DCC"/>
    <w:rsid w:val="00576686"/>
    <w:rsid w:val="0057713D"/>
    <w:rsid w:val="005776C5"/>
    <w:rsid w:val="00577833"/>
    <w:rsid w:val="00577F1F"/>
    <w:rsid w:val="00580E90"/>
    <w:rsid w:val="005817D0"/>
    <w:rsid w:val="00581E31"/>
    <w:rsid w:val="00582AE6"/>
    <w:rsid w:val="00583AD9"/>
    <w:rsid w:val="00584319"/>
    <w:rsid w:val="005849C4"/>
    <w:rsid w:val="00584F09"/>
    <w:rsid w:val="00585152"/>
    <w:rsid w:val="0058566D"/>
    <w:rsid w:val="005857A3"/>
    <w:rsid w:val="00585AF2"/>
    <w:rsid w:val="0058669F"/>
    <w:rsid w:val="00586CF3"/>
    <w:rsid w:val="005922AE"/>
    <w:rsid w:val="005932D8"/>
    <w:rsid w:val="005943A6"/>
    <w:rsid w:val="00595126"/>
    <w:rsid w:val="00595D1D"/>
    <w:rsid w:val="00595D4C"/>
    <w:rsid w:val="005961EE"/>
    <w:rsid w:val="005967FB"/>
    <w:rsid w:val="00596A17"/>
    <w:rsid w:val="00596FAD"/>
    <w:rsid w:val="00597006"/>
    <w:rsid w:val="005A0182"/>
    <w:rsid w:val="005A0A68"/>
    <w:rsid w:val="005A143A"/>
    <w:rsid w:val="005A49BA"/>
    <w:rsid w:val="005A5408"/>
    <w:rsid w:val="005A5A6A"/>
    <w:rsid w:val="005A5C7B"/>
    <w:rsid w:val="005A662A"/>
    <w:rsid w:val="005A7919"/>
    <w:rsid w:val="005A7A3F"/>
    <w:rsid w:val="005A7BD5"/>
    <w:rsid w:val="005A7BE0"/>
    <w:rsid w:val="005B070B"/>
    <w:rsid w:val="005B0883"/>
    <w:rsid w:val="005B1D40"/>
    <w:rsid w:val="005B2BAD"/>
    <w:rsid w:val="005B2F87"/>
    <w:rsid w:val="005B328E"/>
    <w:rsid w:val="005B3757"/>
    <w:rsid w:val="005B4074"/>
    <w:rsid w:val="005B4401"/>
    <w:rsid w:val="005B5125"/>
    <w:rsid w:val="005B529B"/>
    <w:rsid w:val="005B5F9C"/>
    <w:rsid w:val="005B639D"/>
    <w:rsid w:val="005B6727"/>
    <w:rsid w:val="005B6842"/>
    <w:rsid w:val="005B7BED"/>
    <w:rsid w:val="005C0CBA"/>
    <w:rsid w:val="005C3E71"/>
    <w:rsid w:val="005C5196"/>
    <w:rsid w:val="005C5B1B"/>
    <w:rsid w:val="005C66B8"/>
    <w:rsid w:val="005C78B4"/>
    <w:rsid w:val="005D1DA1"/>
    <w:rsid w:val="005D2788"/>
    <w:rsid w:val="005D29AE"/>
    <w:rsid w:val="005D2CFA"/>
    <w:rsid w:val="005D2F78"/>
    <w:rsid w:val="005D3AEF"/>
    <w:rsid w:val="005D514F"/>
    <w:rsid w:val="005D53C2"/>
    <w:rsid w:val="005D5DC7"/>
    <w:rsid w:val="005D652A"/>
    <w:rsid w:val="005D6626"/>
    <w:rsid w:val="005D6C96"/>
    <w:rsid w:val="005D783B"/>
    <w:rsid w:val="005E24B5"/>
    <w:rsid w:val="005E2B9F"/>
    <w:rsid w:val="005E2FC1"/>
    <w:rsid w:val="005E32B6"/>
    <w:rsid w:val="005E418D"/>
    <w:rsid w:val="005E419A"/>
    <w:rsid w:val="005E52A4"/>
    <w:rsid w:val="005E5AF3"/>
    <w:rsid w:val="005E64BF"/>
    <w:rsid w:val="005F0396"/>
    <w:rsid w:val="005F0A24"/>
    <w:rsid w:val="005F17FA"/>
    <w:rsid w:val="005F1959"/>
    <w:rsid w:val="005F1EF2"/>
    <w:rsid w:val="005F2D83"/>
    <w:rsid w:val="005F3957"/>
    <w:rsid w:val="005F3972"/>
    <w:rsid w:val="005F46D9"/>
    <w:rsid w:val="005F4748"/>
    <w:rsid w:val="005F4B50"/>
    <w:rsid w:val="005F5D47"/>
    <w:rsid w:val="005F63AB"/>
    <w:rsid w:val="005F651A"/>
    <w:rsid w:val="005F6E60"/>
    <w:rsid w:val="005F714E"/>
    <w:rsid w:val="005F7A27"/>
    <w:rsid w:val="005F7DA7"/>
    <w:rsid w:val="006014D4"/>
    <w:rsid w:val="006015F0"/>
    <w:rsid w:val="00602D88"/>
    <w:rsid w:val="00603200"/>
    <w:rsid w:val="00605F69"/>
    <w:rsid w:val="0060678D"/>
    <w:rsid w:val="0061037C"/>
    <w:rsid w:val="00610B6A"/>
    <w:rsid w:val="00612187"/>
    <w:rsid w:val="00612E74"/>
    <w:rsid w:val="006131FB"/>
    <w:rsid w:val="00615E49"/>
    <w:rsid w:val="00616592"/>
    <w:rsid w:val="00621CF1"/>
    <w:rsid w:val="00624699"/>
    <w:rsid w:val="00624D82"/>
    <w:rsid w:val="00624E5C"/>
    <w:rsid w:val="00624F1B"/>
    <w:rsid w:val="00626431"/>
    <w:rsid w:val="00626B13"/>
    <w:rsid w:val="00627499"/>
    <w:rsid w:val="006276B0"/>
    <w:rsid w:val="00627E15"/>
    <w:rsid w:val="006302C5"/>
    <w:rsid w:val="00630359"/>
    <w:rsid w:val="00630676"/>
    <w:rsid w:val="00631FB7"/>
    <w:rsid w:val="00632D59"/>
    <w:rsid w:val="00633144"/>
    <w:rsid w:val="00633BEF"/>
    <w:rsid w:val="0063420F"/>
    <w:rsid w:val="00635873"/>
    <w:rsid w:val="00636C64"/>
    <w:rsid w:val="006377FE"/>
    <w:rsid w:val="006403F9"/>
    <w:rsid w:val="00642AF9"/>
    <w:rsid w:val="00644E31"/>
    <w:rsid w:val="006452ED"/>
    <w:rsid w:val="00645C61"/>
    <w:rsid w:val="00646023"/>
    <w:rsid w:val="00646B89"/>
    <w:rsid w:val="00647817"/>
    <w:rsid w:val="00651DE2"/>
    <w:rsid w:val="00653CE1"/>
    <w:rsid w:val="00653EF6"/>
    <w:rsid w:val="0065459E"/>
    <w:rsid w:val="00656281"/>
    <w:rsid w:val="00656D6B"/>
    <w:rsid w:val="00657C60"/>
    <w:rsid w:val="00660331"/>
    <w:rsid w:val="006603DC"/>
    <w:rsid w:val="006605DF"/>
    <w:rsid w:val="0066069C"/>
    <w:rsid w:val="00660F78"/>
    <w:rsid w:val="00661138"/>
    <w:rsid w:val="0066286F"/>
    <w:rsid w:val="00662D37"/>
    <w:rsid w:val="00663C59"/>
    <w:rsid w:val="0066499C"/>
    <w:rsid w:val="00664C40"/>
    <w:rsid w:val="00665D84"/>
    <w:rsid w:val="00666151"/>
    <w:rsid w:val="0066731A"/>
    <w:rsid w:val="0066740A"/>
    <w:rsid w:val="006679AF"/>
    <w:rsid w:val="00670970"/>
    <w:rsid w:val="00670A96"/>
    <w:rsid w:val="00670C87"/>
    <w:rsid w:val="00671FBB"/>
    <w:rsid w:val="00672E1C"/>
    <w:rsid w:val="0067505E"/>
    <w:rsid w:val="00675B5C"/>
    <w:rsid w:val="00676C5C"/>
    <w:rsid w:val="006810B0"/>
    <w:rsid w:val="0068219A"/>
    <w:rsid w:val="00682601"/>
    <w:rsid w:val="00683CBD"/>
    <w:rsid w:val="00685393"/>
    <w:rsid w:val="00685661"/>
    <w:rsid w:val="006869F1"/>
    <w:rsid w:val="00686AC5"/>
    <w:rsid w:val="00686B46"/>
    <w:rsid w:val="00687A67"/>
    <w:rsid w:val="0069015E"/>
    <w:rsid w:val="00691307"/>
    <w:rsid w:val="00693035"/>
    <w:rsid w:val="0069446C"/>
    <w:rsid w:val="006957EF"/>
    <w:rsid w:val="00695C03"/>
    <w:rsid w:val="00697235"/>
    <w:rsid w:val="006A09AC"/>
    <w:rsid w:val="006A1CFC"/>
    <w:rsid w:val="006A2BAE"/>
    <w:rsid w:val="006A2E7A"/>
    <w:rsid w:val="006A2EC0"/>
    <w:rsid w:val="006A470B"/>
    <w:rsid w:val="006A4E0D"/>
    <w:rsid w:val="006A6157"/>
    <w:rsid w:val="006A64D2"/>
    <w:rsid w:val="006A6833"/>
    <w:rsid w:val="006A7613"/>
    <w:rsid w:val="006B0CB3"/>
    <w:rsid w:val="006B1071"/>
    <w:rsid w:val="006B1C7B"/>
    <w:rsid w:val="006B33EB"/>
    <w:rsid w:val="006B345C"/>
    <w:rsid w:val="006B45C6"/>
    <w:rsid w:val="006B52EF"/>
    <w:rsid w:val="006B5AD0"/>
    <w:rsid w:val="006B6368"/>
    <w:rsid w:val="006C0FA0"/>
    <w:rsid w:val="006C148E"/>
    <w:rsid w:val="006C1493"/>
    <w:rsid w:val="006C1961"/>
    <w:rsid w:val="006C1A6E"/>
    <w:rsid w:val="006C1D9D"/>
    <w:rsid w:val="006C23E4"/>
    <w:rsid w:val="006C296A"/>
    <w:rsid w:val="006C2BC8"/>
    <w:rsid w:val="006C3737"/>
    <w:rsid w:val="006C46DC"/>
    <w:rsid w:val="006C4858"/>
    <w:rsid w:val="006C4ECD"/>
    <w:rsid w:val="006C5E3A"/>
    <w:rsid w:val="006D000F"/>
    <w:rsid w:val="006D240B"/>
    <w:rsid w:val="006D5B0F"/>
    <w:rsid w:val="006D75E9"/>
    <w:rsid w:val="006E0B17"/>
    <w:rsid w:val="006E0E87"/>
    <w:rsid w:val="006E1232"/>
    <w:rsid w:val="006E23F5"/>
    <w:rsid w:val="006E29C5"/>
    <w:rsid w:val="006E4F29"/>
    <w:rsid w:val="006E5CBC"/>
    <w:rsid w:val="006E5EDF"/>
    <w:rsid w:val="006E6275"/>
    <w:rsid w:val="006E73B2"/>
    <w:rsid w:val="006E7498"/>
    <w:rsid w:val="006E7572"/>
    <w:rsid w:val="006F1991"/>
    <w:rsid w:val="006F19C8"/>
    <w:rsid w:val="006F1A4E"/>
    <w:rsid w:val="006F2BB6"/>
    <w:rsid w:val="006F2D1D"/>
    <w:rsid w:val="006F58C7"/>
    <w:rsid w:val="006F61F3"/>
    <w:rsid w:val="006F7B3F"/>
    <w:rsid w:val="006F7CEC"/>
    <w:rsid w:val="00700480"/>
    <w:rsid w:val="00700709"/>
    <w:rsid w:val="00700738"/>
    <w:rsid w:val="00700851"/>
    <w:rsid w:val="00701151"/>
    <w:rsid w:val="00703232"/>
    <w:rsid w:val="0070334E"/>
    <w:rsid w:val="0070388C"/>
    <w:rsid w:val="00703AE8"/>
    <w:rsid w:val="00704D21"/>
    <w:rsid w:val="00704D71"/>
    <w:rsid w:val="0070557C"/>
    <w:rsid w:val="00705E05"/>
    <w:rsid w:val="00705E5C"/>
    <w:rsid w:val="00705F93"/>
    <w:rsid w:val="0070635C"/>
    <w:rsid w:val="00706A00"/>
    <w:rsid w:val="00706F49"/>
    <w:rsid w:val="00707680"/>
    <w:rsid w:val="007078B0"/>
    <w:rsid w:val="00707B31"/>
    <w:rsid w:val="00710617"/>
    <w:rsid w:val="00712AA4"/>
    <w:rsid w:val="00712D64"/>
    <w:rsid w:val="00713E49"/>
    <w:rsid w:val="0071489A"/>
    <w:rsid w:val="00714937"/>
    <w:rsid w:val="00714B34"/>
    <w:rsid w:val="00714BFF"/>
    <w:rsid w:val="00715DD7"/>
    <w:rsid w:val="00716018"/>
    <w:rsid w:val="007177A5"/>
    <w:rsid w:val="00717E8C"/>
    <w:rsid w:val="007205B7"/>
    <w:rsid w:val="00720BB8"/>
    <w:rsid w:val="0072145D"/>
    <w:rsid w:val="007216D7"/>
    <w:rsid w:val="00725081"/>
    <w:rsid w:val="00726039"/>
    <w:rsid w:val="00726B46"/>
    <w:rsid w:val="00726C7A"/>
    <w:rsid w:val="00726F4E"/>
    <w:rsid w:val="0072741F"/>
    <w:rsid w:val="007327BE"/>
    <w:rsid w:val="00732E13"/>
    <w:rsid w:val="00733182"/>
    <w:rsid w:val="00733525"/>
    <w:rsid w:val="007337D2"/>
    <w:rsid w:val="007350F0"/>
    <w:rsid w:val="00735C26"/>
    <w:rsid w:val="00735FC8"/>
    <w:rsid w:val="007365EE"/>
    <w:rsid w:val="00736948"/>
    <w:rsid w:val="00736BBB"/>
    <w:rsid w:val="00736DDC"/>
    <w:rsid w:val="007370B7"/>
    <w:rsid w:val="00737FD2"/>
    <w:rsid w:val="0074169C"/>
    <w:rsid w:val="007422EC"/>
    <w:rsid w:val="007439FE"/>
    <w:rsid w:val="007457E2"/>
    <w:rsid w:val="00746032"/>
    <w:rsid w:val="0074695C"/>
    <w:rsid w:val="00746F97"/>
    <w:rsid w:val="00747EEB"/>
    <w:rsid w:val="007517DF"/>
    <w:rsid w:val="007522D1"/>
    <w:rsid w:val="0075369F"/>
    <w:rsid w:val="00753A5B"/>
    <w:rsid w:val="0075411D"/>
    <w:rsid w:val="007550CA"/>
    <w:rsid w:val="0075626A"/>
    <w:rsid w:val="00756630"/>
    <w:rsid w:val="00756D66"/>
    <w:rsid w:val="007573F0"/>
    <w:rsid w:val="0076243D"/>
    <w:rsid w:val="00763CF3"/>
    <w:rsid w:val="00763E63"/>
    <w:rsid w:val="0076401C"/>
    <w:rsid w:val="007640EA"/>
    <w:rsid w:val="00764236"/>
    <w:rsid w:val="007647CA"/>
    <w:rsid w:val="007648CE"/>
    <w:rsid w:val="00764D82"/>
    <w:rsid w:val="00766590"/>
    <w:rsid w:val="0076737F"/>
    <w:rsid w:val="00767AD3"/>
    <w:rsid w:val="007721E5"/>
    <w:rsid w:val="00774059"/>
    <w:rsid w:val="0077440D"/>
    <w:rsid w:val="00774F2E"/>
    <w:rsid w:val="00776A0E"/>
    <w:rsid w:val="00780641"/>
    <w:rsid w:val="00780E1A"/>
    <w:rsid w:val="00781B43"/>
    <w:rsid w:val="00782268"/>
    <w:rsid w:val="00782884"/>
    <w:rsid w:val="00783337"/>
    <w:rsid w:val="00783C59"/>
    <w:rsid w:val="007840D1"/>
    <w:rsid w:val="007842BF"/>
    <w:rsid w:val="00785BDB"/>
    <w:rsid w:val="007866F5"/>
    <w:rsid w:val="00787358"/>
    <w:rsid w:val="0079163D"/>
    <w:rsid w:val="00792281"/>
    <w:rsid w:val="00792AAC"/>
    <w:rsid w:val="00793257"/>
    <w:rsid w:val="007963BB"/>
    <w:rsid w:val="007965B0"/>
    <w:rsid w:val="00796FF9"/>
    <w:rsid w:val="007A1106"/>
    <w:rsid w:val="007A1448"/>
    <w:rsid w:val="007A280A"/>
    <w:rsid w:val="007A2BC8"/>
    <w:rsid w:val="007A4E46"/>
    <w:rsid w:val="007A5631"/>
    <w:rsid w:val="007A62C2"/>
    <w:rsid w:val="007A6FD5"/>
    <w:rsid w:val="007A7EC2"/>
    <w:rsid w:val="007A7F48"/>
    <w:rsid w:val="007B0934"/>
    <w:rsid w:val="007B1389"/>
    <w:rsid w:val="007B1BC4"/>
    <w:rsid w:val="007B3DB9"/>
    <w:rsid w:val="007B4420"/>
    <w:rsid w:val="007B5DB2"/>
    <w:rsid w:val="007B6559"/>
    <w:rsid w:val="007B6DE7"/>
    <w:rsid w:val="007B78F1"/>
    <w:rsid w:val="007C05B9"/>
    <w:rsid w:val="007C0EE5"/>
    <w:rsid w:val="007C0EF2"/>
    <w:rsid w:val="007C0F5C"/>
    <w:rsid w:val="007C237C"/>
    <w:rsid w:val="007C44BE"/>
    <w:rsid w:val="007C6324"/>
    <w:rsid w:val="007C6E17"/>
    <w:rsid w:val="007C785D"/>
    <w:rsid w:val="007D0245"/>
    <w:rsid w:val="007D055B"/>
    <w:rsid w:val="007D06AC"/>
    <w:rsid w:val="007D0FF5"/>
    <w:rsid w:val="007D1FB6"/>
    <w:rsid w:val="007D2487"/>
    <w:rsid w:val="007D4B20"/>
    <w:rsid w:val="007D545A"/>
    <w:rsid w:val="007D6252"/>
    <w:rsid w:val="007D6E1B"/>
    <w:rsid w:val="007E0DB7"/>
    <w:rsid w:val="007E230A"/>
    <w:rsid w:val="007E2D1A"/>
    <w:rsid w:val="007E39B1"/>
    <w:rsid w:val="007E4721"/>
    <w:rsid w:val="007E5EE2"/>
    <w:rsid w:val="007E611A"/>
    <w:rsid w:val="007E6E24"/>
    <w:rsid w:val="007F02B9"/>
    <w:rsid w:val="007F0C2B"/>
    <w:rsid w:val="007F10BD"/>
    <w:rsid w:val="007F20F0"/>
    <w:rsid w:val="007F32D5"/>
    <w:rsid w:val="007F6A56"/>
    <w:rsid w:val="007F7627"/>
    <w:rsid w:val="00801725"/>
    <w:rsid w:val="0080224C"/>
    <w:rsid w:val="00803342"/>
    <w:rsid w:val="00803655"/>
    <w:rsid w:val="00803A80"/>
    <w:rsid w:val="008048EA"/>
    <w:rsid w:val="00804EF5"/>
    <w:rsid w:val="00813A82"/>
    <w:rsid w:val="008148B8"/>
    <w:rsid w:val="00814C63"/>
    <w:rsid w:val="00815623"/>
    <w:rsid w:val="00815F4B"/>
    <w:rsid w:val="008166D9"/>
    <w:rsid w:val="00817DD4"/>
    <w:rsid w:val="00820CE9"/>
    <w:rsid w:val="00821991"/>
    <w:rsid w:val="00821B77"/>
    <w:rsid w:val="00822F22"/>
    <w:rsid w:val="0082399A"/>
    <w:rsid w:val="00823D37"/>
    <w:rsid w:val="008243B0"/>
    <w:rsid w:val="00824586"/>
    <w:rsid w:val="0082490E"/>
    <w:rsid w:val="008257A7"/>
    <w:rsid w:val="008261CE"/>
    <w:rsid w:val="00826C47"/>
    <w:rsid w:val="008278F6"/>
    <w:rsid w:val="0083047A"/>
    <w:rsid w:val="00832245"/>
    <w:rsid w:val="0083282E"/>
    <w:rsid w:val="0083324A"/>
    <w:rsid w:val="00833DBD"/>
    <w:rsid w:val="008342AE"/>
    <w:rsid w:val="0083720A"/>
    <w:rsid w:val="00837636"/>
    <w:rsid w:val="0083781F"/>
    <w:rsid w:val="00837A6C"/>
    <w:rsid w:val="0084075C"/>
    <w:rsid w:val="00840DF9"/>
    <w:rsid w:val="00840E8B"/>
    <w:rsid w:val="00842B28"/>
    <w:rsid w:val="008443E9"/>
    <w:rsid w:val="00844A5F"/>
    <w:rsid w:val="00845859"/>
    <w:rsid w:val="00845D09"/>
    <w:rsid w:val="0084791E"/>
    <w:rsid w:val="00847B83"/>
    <w:rsid w:val="00850756"/>
    <w:rsid w:val="008517F2"/>
    <w:rsid w:val="00851903"/>
    <w:rsid w:val="008527C9"/>
    <w:rsid w:val="00853553"/>
    <w:rsid w:val="00853ABF"/>
    <w:rsid w:val="008553CC"/>
    <w:rsid w:val="008556E5"/>
    <w:rsid w:val="00856ACD"/>
    <w:rsid w:val="0085786E"/>
    <w:rsid w:val="008633E1"/>
    <w:rsid w:val="00863947"/>
    <w:rsid w:val="00864129"/>
    <w:rsid w:val="008641B8"/>
    <w:rsid w:val="008654F7"/>
    <w:rsid w:val="008655AF"/>
    <w:rsid w:val="008666FE"/>
    <w:rsid w:val="00866964"/>
    <w:rsid w:val="00866B33"/>
    <w:rsid w:val="00871354"/>
    <w:rsid w:val="00871838"/>
    <w:rsid w:val="00872386"/>
    <w:rsid w:val="008726C0"/>
    <w:rsid w:val="00873977"/>
    <w:rsid w:val="00873BF0"/>
    <w:rsid w:val="00873E0A"/>
    <w:rsid w:val="00873EF7"/>
    <w:rsid w:val="00874270"/>
    <w:rsid w:val="00874914"/>
    <w:rsid w:val="00875A41"/>
    <w:rsid w:val="0087663E"/>
    <w:rsid w:val="00877548"/>
    <w:rsid w:val="008804FB"/>
    <w:rsid w:val="00880AB2"/>
    <w:rsid w:val="00881029"/>
    <w:rsid w:val="00881535"/>
    <w:rsid w:val="00884561"/>
    <w:rsid w:val="00884C58"/>
    <w:rsid w:val="00886373"/>
    <w:rsid w:val="00886B9F"/>
    <w:rsid w:val="008873AE"/>
    <w:rsid w:val="00887A9B"/>
    <w:rsid w:val="00887FA6"/>
    <w:rsid w:val="008902A3"/>
    <w:rsid w:val="00892076"/>
    <w:rsid w:val="00892404"/>
    <w:rsid w:val="00892F19"/>
    <w:rsid w:val="008946BA"/>
    <w:rsid w:val="0089571D"/>
    <w:rsid w:val="00896D97"/>
    <w:rsid w:val="008979BC"/>
    <w:rsid w:val="008A21C4"/>
    <w:rsid w:val="008A3CAD"/>
    <w:rsid w:val="008A4591"/>
    <w:rsid w:val="008A4894"/>
    <w:rsid w:val="008A4E82"/>
    <w:rsid w:val="008A55EC"/>
    <w:rsid w:val="008A5F3C"/>
    <w:rsid w:val="008B2085"/>
    <w:rsid w:val="008B2153"/>
    <w:rsid w:val="008B2FB1"/>
    <w:rsid w:val="008B3646"/>
    <w:rsid w:val="008B38B9"/>
    <w:rsid w:val="008B3995"/>
    <w:rsid w:val="008B42FE"/>
    <w:rsid w:val="008B5562"/>
    <w:rsid w:val="008B67D8"/>
    <w:rsid w:val="008C0160"/>
    <w:rsid w:val="008C060E"/>
    <w:rsid w:val="008C0AD2"/>
    <w:rsid w:val="008C0CFE"/>
    <w:rsid w:val="008C11A0"/>
    <w:rsid w:val="008C1ACC"/>
    <w:rsid w:val="008C20EC"/>
    <w:rsid w:val="008C4770"/>
    <w:rsid w:val="008C5733"/>
    <w:rsid w:val="008C5F2B"/>
    <w:rsid w:val="008C66AB"/>
    <w:rsid w:val="008C7032"/>
    <w:rsid w:val="008C7101"/>
    <w:rsid w:val="008D07D7"/>
    <w:rsid w:val="008D15DF"/>
    <w:rsid w:val="008D24EF"/>
    <w:rsid w:val="008D27BE"/>
    <w:rsid w:val="008D33DF"/>
    <w:rsid w:val="008D3AAE"/>
    <w:rsid w:val="008D48D4"/>
    <w:rsid w:val="008D5B5C"/>
    <w:rsid w:val="008D6076"/>
    <w:rsid w:val="008D6532"/>
    <w:rsid w:val="008D66CE"/>
    <w:rsid w:val="008D7F63"/>
    <w:rsid w:val="008E0D00"/>
    <w:rsid w:val="008E2077"/>
    <w:rsid w:val="008E348D"/>
    <w:rsid w:val="008E375A"/>
    <w:rsid w:val="008E51F1"/>
    <w:rsid w:val="008E6140"/>
    <w:rsid w:val="008E6B63"/>
    <w:rsid w:val="008F07E5"/>
    <w:rsid w:val="008F13F4"/>
    <w:rsid w:val="008F2033"/>
    <w:rsid w:val="008F2881"/>
    <w:rsid w:val="008F38F1"/>
    <w:rsid w:val="008F3960"/>
    <w:rsid w:val="008F3A9B"/>
    <w:rsid w:val="008F4772"/>
    <w:rsid w:val="008F5051"/>
    <w:rsid w:val="008F6D08"/>
    <w:rsid w:val="0090022C"/>
    <w:rsid w:val="00900A85"/>
    <w:rsid w:val="00900BC6"/>
    <w:rsid w:val="00901386"/>
    <w:rsid w:val="009014D4"/>
    <w:rsid w:val="00901A97"/>
    <w:rsid w:val="00902EE9"/>
    <w:rsid w:val="00903A2E"/>
    <w:rsid w:val="00903E6C"/>
    <w:rsid w:val="00904A75"/>
    <w:rsid w:val="00905FA2"/>
    <w:rsid w:val="009067AB"/>
    <w:rsid w:val="00911498"/>
    <w:rsid w:val="009117FB"/>
    <w:rsid w:val="0091300F"/>
    <w:rsid w:val="009131C3"/>
    <w:rsid w:val="00915609"/>
    <w:rsid w:val="0091649A"/>
    <w:rsid w:val="0091675C"/>
    <w:rsid w:val="00916F52"/>
    <w:rsid w:val="00921C98"/>
    <w:rsid w:val="00922033"/>
    <w:rsid w:val="0092250E"/>
    <w:rsid w:val="00922983"/>
    <w:rsid w:val="00922A58"/>
    <w:rsid w:val="00923B6E"/>
    <w:rsid w:val="00923FCF"/>
    <w:rsid w:val="00925757"/>
    <w:rsid w:val="00925B60"/>
    <w:rsid w:val="009260FE"/>
    <w:rsid w:val="00930339"/>
    <w:rsid w:val="009313CF"/>
    <w:rsid w:val="0093157E"/>
    <w:rsid w:val="00931610"/>
    <w:rsid w:val="00931B0A"/>
    <w:rsid w:val="00935F85"/>
    <w:rsid w:val="00943105"/>
    <w:rsid w:val="009448A6"/>
    <w:rsid w:val="00944974"/>
    <w:rsid w:val="009475C0"/>
    <w:rsid w:val="009509D3"/>
    <w:rsid w:val="00951D99"/>
    <w:rsid w:val="00952620"/>
    <w:rsid w:val="00952A99"/>
    <w:rsid w:val="00952E36"/>
    <w:rsid w:val="009534DF"/>
    <w:rsid w:val="00953A23"/>
    <w:rsid w:val="00953DDC"/>
    <w:rsid w:val="009547A7"/>
    <w:rsid w:val="009551BE"/>
    <w:rsid w:val="00956157"/>
    <w:rsid w:val="00956C30"/>
    <w:rsid w:val="00957049"/>
    <w:rsid w:val="00957B30"/>
    <w:rsid w:val="00960A1C"/>
    <w:rsid w:val="00960E77"/>
    <w:rsid w:val="009614E2"/>
    <w:rsid w:val="00961541"/>
    <w:rsid w:val="00962254"/>
    <w:rsid w:val="00962B33"/>
    <w:rsid w:val="00962F39"/>
    <w:rsid w:val="00963568"/>
    <w:rsid w:val="009636A9"/>
    <w:rsid w:val="00963984"/>
    <w:rsid w:val="00963EB7"/>
    <w:rsid w:val="009649DA"/>
    <w:rsid w:val="009662F2"/>
    <w:rsid w:val="00967EA8"/>
    <w:rsid w:val="00970EBA"/>
    <w:rsid w:val="00971C0E"/>
    <w:rsid w:val="009739C9"/>
    <w:rsid w:val="00975020"/>
    <w:rsid w:val="00975985"/>
    <w:rsid w:val="00977657"/>
    <w:rsid w:val="0097783E"/>
    <w:rsid w:val="009817EF"/>
    <w:rsid w:val="00981D8B"/>
    <w:rsid w:val="00982276"/>
    <w:rsid w:val="00982B7B"/>
    <w:rsid w:val="00983A36"/>
    <w:rsid w:val="00984935"/>
    <w:rsid w:val="00984DA0"/>
    <w:rsid w:val="00986154"/>
    <w:rsid w:val="00986E3C"/>
    <w:rsid w:val="00986FA9"/>
    <w:rsid w:val="00990CEA"/>
    <w:rsid w:val="00992F19"/>
    <w:rsid w:val="009944EA"/>
    <w:rsid w:val="009959C1"/>
    <w:rsid w:val="0099748A"/>
    <w:rsid w:val="009A0B65"/>
    <w:rsid w:val="009A26D8"/>
    <w:rsid w:val="009A2B92"/>
    <w:rsid w:val="009A30F1"/>
    <w:rsid w:val="009A3407"/>
    <w:rsid w:val="009A5562"/>
    <w:rsid w:val="009A69A9"/>
    <w:rsid w:val="009A7F66"/>
    <w:rsid w:val="009B04EE"/>
    <w:rsid w:val="009B1F11"/>
    <w:rsid w:val="009B248F"/>
    <w:rsid w:val="009B54BE"/>
    <w:rsid w:val="009B5534"/>
    <w:rsid w:val="009B5B2C"/>
    <w:rsid w:val="009B6B99"/>
    <w:rsid w:val="009C0BCC"/>
    <w:rsid w:val="009C17BD"/>
    <w:rsid w:val="009C228A"/>
    <w:rsid w:val="009C3664"/>
    <w:rsid w:val="009C3D94"/>
    <w:rsid w:val="009C4812"/>
    <w:rsid w:val="009C5B08"/>
    <w:rsid w:val="009C6FF9"/>
    <w:rsid w:val="009D21FF"/>
    <w:rsid w:val="009D389F"/>
    <w:rsid w:val="009D3B81"/>
    <w:rsid w:val="009D4E5D"/>
    <w:rsid w:val="009D68DD"/>
    <w:rsid w:val="009D6B1D"/>
    <w:rsid w:val="009D6F48"/>
    <w:rsid w:val="009D7BE3"/>
    <w:rsid w:val="009D7F3E"/>
    <w:rsid w:val="009E1B2E"/>
    <w:rsid w:val="009E1BC6"/>
    <w:rsid w:val="009E3566"/>
    <w:rsid w:val="009E3E9B"/>
    <w:rsid w:val="009E474E"/>
    <w:rsid w:val="009E4E9E"/>
    <w:rsid w:val="009E5D78"/>
    <w:rsid w:val="009F2BF0"/>
    <w:rsid w:val="009F47BA"/>
    <w:rsid w:val="009F4939"/>
    <w:rsid w:val="009F4C5A"/>
    <w:rsid w:val="009F5392"/>
    <w:rsid w:val="009F6D0E"/>
    <w:rsid w:val="009F7C89"/>
    <w:rsid w:val="00A00180"/>
    <w:rsid w:val="00A00901"/>
    <w:rsid w:val="00A00D5D"/>
    <w:rsid w:val="00A023F2"/>
    <w:rsid w:val="00A03241"/>
    <w:rsid w:val="00A035A1"/>
    <w:rsid w:val="00A05E57"/>
    <w:rsid w:val="00A106A7"/>
    <w:rsid w:val="00A10829"/>
    <w:rsid w:val="00A10D57"/>
    <w:rsid w:val="00A114A1"/>
    <w:rsid w:val="00A11573"/>
    <w:rsid w:val="00A13016"/>
    <w:rsid w:val="00A1407E"/>
    <w:rsid w:val="00A14B84"/>
    <w:rsid w:val="00A15823"/>
    <w:rsid w:val="00A15FFD"/>
    <w:rsid w:val="00A1648A"/>
    <w:rsid w:val="00A16783"/>
    <w:rsid w:val="00A16CA0"/>
    <w:rsid w:val="00A170B2"/>
    <w:rsid w:val="00A17282"/>
    <w:rsid w:val="00A2028F"/>
    <w:rsid w:val="00A22FEC"/>
    <w:rsid w:val="00A23C8F"/>
    <w:rsid w:val="00A246CA"/>
    <w:rsid w:val="00A24843"/>
    <w:rsid w:val="00A24F21"/>
    <w:rsid w:val="00A2612F"/>
    <w:rsid w:val="00A26164"/>
    <w:rsid w:val="00A26F13"/>
    <w:rsid w:val="00A26F89"/>
    <w:rsid w:val="00A3092D"/>
    <w:rsid w:val="00A315F5"/>
    <w:rsid w:val="00A31EAC"/>
    <w:rsid w:val="00A324A3"/>
    <w:rsid w:val="00A338F1"/>
    <w:rsid w:val="00A33933"/>
    <w:rsid w:val="00A33DBB"/>
    <w:rsid w:val="00A346B4"/>
    <w:rsid w:val="00A34CFF"/>
    <w:rsid w:val="00A352C7"/>
    <w:rsid w:val="00A3730F"/>
    <w:rsid w:val="00A379D0"/>
    <w:rsid w:val="00A40188"/>
    <w:rsid w:val="00A40DB7"/>
    <w:rsid w:val="00A41C2E"/>
    <w:rsid w:val="00A447B0"/>
    <w:rsid w:val="00A45877"/>
    <w:rsid w:val="00A45C47"/>
    <w:rsid w:val="00A46AA5"/>
    <w:rsid w:val="00A46C15"/>
    <w:rsid w:val="00A4733F"/>
    <w:rsid w:val="00A473C3"/>
    <w:rsid w:val="00A47AF9"/>
    <w:rsid w:val="00A506ED"/>
    <w:rsid w:val="00A51E60"/>
    <w:rsid w:val="00A52035"/>
    <w:rsid w:val="00A52333"/>
    <w:rsid w:val="00A524E7"/>
    <w:rsid w:val="00A534FF"/>
    <w:rsid w:val="00A54BF7"/>
    <w:rsid w:val="00A55C54"/>
    <w:rsid w:val="00A560E1"/>
    <w:rsid w:val="00A564E7"/>
    <w:rsid w:val="00A57107"/>
    <w:rsid w:val="00A57592"/>
    <w:rsid w:val="00A57BB8"/>
    <w:rsid w:val="00A602F5"/>
    <w:rsid w:val="00A611A3"/>
    <w:rsid w:val="00A61830"/>
    <w:rsid w:val="00A6398F"/>
    <w:rsid w:val="00A63CA7"/>
    <w:rsid w:val="00A64298"/>
    <w:rsid w:val="00A649C5"/>
    <w:rsid w:val="00A64EDC"/>
    <w:rsid w:val="00A70980"/>
    <w:rsid w:val="00A72600"/>
    <w:rsid w:val="00A728FA"/>
    <w:rsid w:val="00A731A9"/>
    <w:rsid w:val="00A7331C"/>
    <w:rsid w:val="00A74A52"/>
    <w:rsid w:val="00A7575C"/>
    <w:rsid w:val="00A76639"/>
    <w:rsid w:val="00A767AD"/>
    <w:rsid w:val="00A77886"/>
    <w:rsid w:val="00A81824"/>
    <w:rsid w:val="00A82368"/>
    <w:rsid w:val="00A8790E"/>
    <w:rsid w:val="00A90034"/>
    <w:rsid w:val="00A906F8"/>
    <w:rsid w:val="00A9073F"/>
    <w:rsid w:val="00A90EA9"/>
    <w:rsid w:val="00A91963"/>
    <w:rsid w:val="00A9503E"/>
    <w:rsid w:val="00A9529E"/>
    <w:rsid w:val="00A962E1"/>
    <w:rsid w:val="00A963D9"/>
    <w:rsid w:val="00A9695E"/>
    <w:rsid w:val="00A96A26"/>
    <w:rsid w:val="00A96AED"/>
    <w:rsid w:val="00A96CDD"/>
    <w:rsid w:val="00A97D20"/>
    <w:rsid w:val="00AA0CD6"/>
    <w:rsid w:val="00AA112C"/>
    <w:rsid w:val="00AA3121"/>
    <w:rsid w:val="00AA3956"/>
    <w:rsid w:val="00AA43E9"/>
    <w:rsid w:val="00AA5672"/>
    <w:rsid w:val="00AA5F54"/>
    <w:rsid w:val="00AA6BC4"/>
    <w:rsid w:val="00AA76BE"/>
    <w:rsid w:val="00AA7ECF"/>
    <w:rsid w:val="00AB06A6"/>
    <w:rsid w:val="00AB07CA"/>
    <w:rsid w:val="00AB0DF6"/>
    <w:rsid w:val="00AB111E"/>
    <w:rsid w:val="00AB12CB"/>
    <w:rsid w:val="00AB13BE"/>
    <w:rsid w:val="00AB1537"/>
    <w:rsid w:val="00AB2D3D"/>
    <w:rsid w:val="00AB491C"/>
    <w:rsid w:val="00AB5D06"/>
    <w:rsid w:val="00AB70BA"/>
    <w:rsid w:val="00AC35AF"/>
    <w:rsid w:val="00AC374F"/>
    <w:rsid w:val="00AC3D89"/>
    <w:rsid w:val="00AC3FC6"/>
    <w:rsid w:val="00AC45BE"/>
    <w:rsid w:val="00AC5221"/>
    <w:rsid w:val="00AC655B"/>
    <w:rsid w:val="00AC69FF"/>
    <w:rsid w:val="00AC7468"/>
    <w:rsid w:val="00AD1222"/>
    <w:rsid w:val="00AD41D4"/>
    <w:rsid w:val="00AE24CA"/>
    <w:rsid w:val="00AE2F22"/>
    <w:rsid w:val="00AE3A07"/>
    <w:rsid w:val="00AE4033"/>
    <w:rsid w:val="00AE4443"/>
    <w:rsid w:val="00AE45C5"/>
    <w:rsid w:val="00AE4987"/>
    <w:rsid w:val="00AE545A"/>
    <w:rsid w:val="00AE6C73"/>
    <w:rsid w:val="00AE70A2"/>
    <w:rsid w:val="00AF2124"/>
    <w:rsid w:val="00AF297D"/>
    <w:rsid w:val="00AF29AF"/>
    <w:rsid w:val="00AF33A9"/>
    <w:rsid w:val="00AF375A"/>
    <w:rsid w:val="00AF38F6"/>
    <w:rsid w:val="00AF4170"/>
    <w:rsid w:val="00AF41C4"/>
    <w:rsid w:val="00AF59FF"/>
    <w:rsid w:val="00AF6029"/>
    <w:rsid w:val="00AF727A"/>
    <w:rsid w:val="00B0401D"/>
    <w:rsid w:val="00B0601F"/>
    <w:rsid w:val="00B0671E"/>
    <w:rsid w:val="00B071C7"/>
    <w:rsid w:val="00B07923"/>
    <w:rsid w:val="00B103F4"/>
    <w:rsid w:val="00B10D04"/>
    <w:rsid w:val="00B12B9B"/>
    <w:rsid w:val="00B1334C"/>
    <w:rsid w:val="00B1387D"/>
    <w:rsid w:val="00B13FC2"/>
    <w:rsid w:val="00B1447E"/>
    <w:rsid w:val="00B1487B"/>
    <w:rsid w:val="00B15704"/>
    <w:rsid w:val="00B16097"/>
    <w:rsid w:val="00B16747"/>
    <w:rsid w:val="00B20256"/>
    <w:rsid w:val="00B20A67"/>
    <w:rsid w:val="00B20C7B"/>
    <w:rsid w:val="00B23AE5"/>
    <w:rsid w:val="00B240E8"/>
    <w:rsid w:val="00B24F46"/>
    <w:rsid w:val="00B25A89"/>
    <w:rsid w:val="00B2758A"/>
    <w:rsid w:val="00B275DD"/>
    <w:rsid w:val="00B27CB2"/>
    <w:rsid w:val="00B27E90"/>
    <w:rsid w:val="00B31371"/>
    <w:rsid w:val="00B31C53"/>
    <w:rsid w:val="00B3258F"/>
    <w:rsid w:val="00B34704"/>
    <w:rsid w:val="00B34CAF"/>
    <w:rsid w:val="00B3540D"/>
    <w:rsid w:val="00B37422"/>
    <w:rsid w:val="00B377E0"/>
    <w:rsid w:val="00B402D7"/>
    <w:rsid w:val="00B409AC"/>
    <w:rsid w:val="00B40AC6"/>
    <w:rsid w:val="00B40BDC"/>
    <w:rsid w:val="00B40D5F"/>
    <w:rsid w:val="00B4139A"/>
    <w:rsid w:val="00B416BE"/>
    <w:rsid w:val="00B41A35"/>
    <w:rsid w:val="00B41EB4"/>
    <w:rsid w:val="00B442E6"/>
    <w:rsid w:val="00B44730"/>
    <w:rsid w:val="00B4501F"/>
    <w:rsid w:val="00B45091"/>
    <w:rsid w:val="00B46322"/>
    <w:rsid w:val="00B46651"/>
    <w:rsid w:val="00B50383"/>
    <w:rsid w:val="00B50929"/>
    <w:rsid w:val="00B50A3C"/>
    <w:rsid w:val="00B50A3F"/>
    <w:rsid w:val="00B50E14"/>
    <w:rsid w:val="00B51437"/>
    <w:rsid w:val="00B51E89"/>
    <w:rsid w:val="00B52F87"/>
    <w:rsid w:val="00B54E91"/>
    <w:rsid w:val="00B553FD"/>
    <w:rsid w:val="00B55846"/>
    <w:rsid w:val="00B5690C"/>
    <w:rsid w:val="00B570BE"/>
    <w:rsid w:val="00B57AA9"/>
    <w:rsid w:val="00B63F00"/>
    <w:rsid w:val="00B63FBF"/>
    <w:rsid w:val="00B641DA"/>
    <w:rsid w:val="00B64AB6"/>
    <w:rsid w:val="00B653E9"/>
    <w:rsid w:val="00B66056"/>
    <w:rsid w:val="00B703CC"/>
    <w:rsid w:val="00B7101A"/>
    <w:rsid w:val="00B71590"/>
    <w:rsid w:val="00B724B5"/>
    <w:rsid w:val="00B735A8"/>
    <w:rsid w:val="00B73D7D"/>
    <w:rsid w:val="00B74E49"/>
    <w:rsid w:val="00B761DE"/>
    <w:rsid w:val="00B77A41"/>
    <w:rsid w:val="00B81F5A"/>
    <w:rsid w:val="00B82338"/>
    <w:rsid w:val="00B82530"/>
    <w:rsid w:val="00B825E1"/>
    <w:rsid w:val="00B82F7A"/>
    <w:rsid w:val="00B83241"/>
    <w:rsid w:val="00B839C6"/>
    <w:rsid w:val="00B84BFE"/>
    <w:rsid w:val="00B85151"/>
    <w:rsid w:val="00B85902"/>
    <w:rsid w:val="00B85F24"/>
    <w:rsid w:val="00B90025"/>
    <w:rsid w:val="00B90F85"/>
    <w:rsid w:val="00B91D33"/>
    <w:rsid w:val="00B92162"/>
    <w:rsid w:val="00B957DC"/>
    <w:rsid w:val="00B96ECD"/>
    <w:rsid w:val="00BA1567"/>
    <w:rsid w:val="00BA35DB"/>
    <w:rsid w:val="00BA3BC5"/>
    <w:rsid w:val="00BA42F7"/>
    <w:rsid w:val="00BA466F"/>
    <w:rsid w:val="00BA49DE"/>
    <w:rsid w:val="00BA5BFA"/>
    <w:rsid w:val="00BB1911"/>
    <w:rsid w:val="00BB3046"/>
    <w:rsid w:val="00BB3B13"/>
    <w:rsid w:val="00BB43DE"/>
    <w:rsid w:val="00BB4FF4"/>
    <w:rsid w:val="00BB6695"/>
    <w:rsid w:val="00BB6C2D"/>
    <w:rsid w:val="00BB76B2"/>
    <w:rsid w:val="00BB77B6"/>
    <w:rsid w:val="00BC0DA8"/>
    <w:rsid w:val="00BC10FA"/>
    <w:rsid w:val="00BC1413"/>
    <w:rsid w:val="00BC224B"/>
    <w:rsid w:val="00BC2339"/>
    <w:rsid w:val="00BC2CAE"/>
    <w:rsid w:val="00BC2E1C"/>
    <w:rsid w:val="00BC2FFC"/>
    <w:rsid w:val="00BC5073"/>
    <w:rsid w:val="00BC572F"/>
    <w:rsid w:val="00BC5BF4"/>
    <w:rsid w:val="00BC5C9F"/>
    <w:rsid w:val="00BC5E59"/>
    <w:rsid w:val="00BC6379"/>
    <w:rsid w:val="00BC65DF"/>
    <w:rsid w:val="00BC6696"/>
    <w:rsid w:val="00BC6EDE"/>
    <w:rsid w:val="00BD0EF4"/>
    <w:rsid w:val="00BD1969"/>
    <w:rsid w:val="00BD1E8C"/>
    <w:rsid w:val="00BD2C5D"/>
    <w:rsid w:val="00BD40CF"/>
    <w:rsid w:val="00BD5118"/>
    <w:rsid w:val="00BD575B"/>
    <w:rsid w:val="00BD57E0"/>
    <w:rsid w:val="00BD5AD5"/>
    <w:rsid w:val="00BD6E30"/>
    <w:rsid w:val="00BD7695"/>
    <w:rsid w:val="00BE0074"/>
    <w:rsid w:val="00BE0748"/>
    <w:rsid w:val="00BE0F27"/>
    <w:rsid w:val="00BE1317"/>
    <w:rsid w:val="00BE15E6"/>
    <w:rsid w:val="00BE265D"/>
    <w:rsid w:val="00BE3911"/>
    <w:rsid w:val="00BE52AC"/>
    <w:rsid w:val="00BE6343"/>
    <w:rsid w:val="00BE68C8"/>
    <w:rsid w:val="00BE6D7B"/>
    <w:rsid w:val="00BF0432"/>
    <w:rsid w:val="00BF0531"/>
    <w:rsid w:val="00BF0661"/>
    <w:rsid w:val="00BF1D7E"/>
    <w:rsid w:val="00BF4060"/>
    <w:rsid w:val="00BF45B2"/>
    <w:rsid w:val="00BF5E1F"/>
    <w:rsid w:val="00C00783"/>
    <w:rsid w:val="00C014AB"/>
    <w:rsid w:val="00C016A1"/>
    <w:rsid w:val="00C02032"/>
    <w:rsid w:val="00C0207D"/>
    <w:rsid w:val="00C029D6"/>
    <w:rsid w:val="00C03765"/>
    <w:rsid w:val="00C0446B"/>
    <w:rsid w:val="00C0561E"/>
    <w:rsid w:val="00C065F1"/>
    <w:rsid w:val="00C06AA5"/>
    <w:rsid w:val="00C06F74"/>
    <w:rsid w:val="00C071D9"/>
    <w:rsid w:val="00C078BB"/>
    <w:rsid w:val="00C10639"/>
    <w:rsid w:val="00C10691"/>
    <w:rsid w:val="00C110F7"/>
    <w:rsid w:val="00C116EB"/>
    <w:rsid w:val="00C11AC9"/>
    <w:rsid w:val="00C126BD"/>
    <w:rsid w:val="00C128FE"/>
    <w:rsid w:val="00C12FA0"/>
    <w:rsid w:val="00C13764"/>
    <w:rsid w:val="00C13834"/>
    <w:rsid w:val="00C15197"/>
    <w:rsid w:val="00C16635"/>
    <w:rsid w:val="00C1672C"/>
    <w:rsid w:val="00C20487"/>
    <w:rsid w:val="00C214C3"/>
    <w:rsid w:val="00C223CB"/>
    <w:rsid w:val="00C2268D"/>
    <w:rsid w:val="00C233CC"/>
    <w:rsid w:val="00C23B98"/>
    <w:rsid w:val="00C25110"/>
    <w:rsid w:val="00C261FB"/>
    <w:rsid w:val="00C26306"/>
    <w:rsid w:val="00C26A08"/>
    <w:rsid w:val="00C26FD9"/>
    <w:rsid w:val="00C3040D"/>
    <w:rsid w:val="00C309A3"/>
    <w:rsid w:val="00C31E01"/>
    <w:rsid w:val="00C31E18"/>
    <w:rsid w:val="00C31E6C"/>
    <w:rsid w:val="00C32320"/>
    <w:rsid w:val="00C32337"/>
    <w:rsid w:val="00C3277B"/>
    <w:rsid w:val="00C33E2C"/>
    <w:rsid w:val="00C34824"/>
    <w:rsid w:val="00C349D0"/>
    <w:rsid w:val="00C34BF6"/>
    <w:rsid w:val="00C3500C"/>
    <w:rsid w:val="00C35B4C"/>
    <w:rsid w:val="00C36048"/>
    <w:rsid w:val="00C36DF2"/>
    <w:rsid w:val="00C37940"/>
    <w:rsid w:val="00C37ADA"/>
    <w:rsid w:val="00C37D05"/>
    <w:rsid w:val="00C41AEC"/>
    <w:rsid w:val="00C42B15"/>
    <w:rsid w:val="00C44702"/>
    <w:rsid w:val="00C4542B"/>
    <w:rsid w:val="00C4634F"/>
    <w:rsid w:val="00C477EC"/>
    <w:rsid w:val="00C50F7C"/>
    <w:rsid w:val="00C51C8D"/>
    <w:rsid w:val="00C52EA7"/>
    <w:rsid w:val="00C53435"/>
    <w:rsid w:val="00C557A1"/>
    <w:rsid w:val="00C55D18"/>
    <w:rsid w:val="00C55FE2"/>
    <w:rsid w:val="00C57F91"/>
    <w:rsid w:val="00C61B6F"/>
    <w:rsid w:val="00C6393B"/>
    <w:rsid w:val="00C64018"/>
    <w:rsid w:val="00C676DD"/>
    <w:rsid w:val="00C703B4"/>
    <w:rsid w:val="00C70F65"/>
    <w:rsid w:val="00C7335C"/>
    <w:rsid w:val="00C73AB3"/>
    <w:rsid w:val="00C75189"/>
    <w:rsid w:val="00C77855"/>
    <w:rsid w:val="00C8118F"/>
    <w:rsid w:val="00C832B2"/>
    <w:rsid w:val="00C83D2D"/>
    <w:rsid w:val="00C840BF"/>
    <w:rsid w:val="00C865DF"/>
    <w:rsid w:val="00C86721"/>
    <w:rsid w:val="00C870F1"/>
    <w:rsid w:val="00C907E7"/>
    <w:rsid w:val="00C90EC2"/>
    <w:rsid w:val="00C9318B"/>
    <w:rsid w:val="00C936D5"/>
    <w:rsid w:val="00C936E5"/>
    <w:rsid w:val="00C94052"/>
    <w:rsid w:val="00C946DE"/>
    <w:rsid w:val="00C9502C"/>
    <w:rsid w:val="00C96056"/>
    <w:rsid w:val="00C9769D"/>
    <w:rsid w:val="00CA0214"/>
    <w:rsid w:val="00CA0A62"/>
    <w:rsid w:val="00CA129E"/>
    <w:rsid w:val="00CA1C81"/>
    <w:rsid w:val="00CA34CE"/>
    <w:rsid w:val="00CA4400"/>
    <w:rsid w:val="00CA63EE"/>
    <w:rsid w:val="00CA6E04"/>
    <w:rsid w:val="00CB0339"/>
    <w:rsid w:val="00CB132B"/>
    <w:rsid w:val="00CB3132"/>
    <w:rsid w:val="00CB38E8"/>
    <w:rsid w:val="00CB50B3"/>
    <w:rsid w:val="00CB6935"/>
    <w:rsid w:val="00CB6971"/>
    <w:rsid w:val="00CB7452"/>
    <w:rsid w:val="00CC012B"/>
    <w:rsid w:val="00CC1B2E"/>
    <w:rsid w:val="00CC1D4C"/>
    <w:rsid w:val="00CC3142"/>
    <w:rsid w:val="00CC4187"/>
    <w:rsid w:val="00CC4342"/>
    <w:rsid w:val="00CC6D0F"/>
    <w:rsid w:val="00CC7339"/>
    <w:rsid w:val="00CD01AB"/>
    <w:rsid w:val="00CD0E7F"/>
    <w:rsid w:val="00CD1A1A"/>
    <w:rsid w:val="00CD4230"/>
    <w:rsid w:val="00CD4DFD"/>
    <w:rsid w:val="00CD6042"/>
    <w:rsid w:val="00CD6479"/>
    <w:rsid w:val="00CD6954"/>
    <w:rsid w:val="00CE0AB7"/>
    <w:rsid w:val="00CE2206"/>
    <w:rsid w:val="00CE22E1"/>
    <w:rsid w:val="00CE2F50"/>
    <w:rsid w:val="00CE39D5"/>
    <w:rsid w:val="00CE50ED"/>
    <w:rsid w:val="00CE56AF"/>
    <w:rsid w:val="00CE56F8"/>
    <w:rsid w:val="00CE6457"/>
    <w:rsid w:val="00CE6BAD"/>
    <w:rsid w:val="00CE7AC5"/>
    <w:rsid w:val="00CF077B"/>
    <w:rsid w:val="00CF1E9F"/>
    <w:rsid w:val="00CF1F7D"/>
    <w:rsid w:val="00CF2D84"/>
    <w:rsid w:val="00CF2E87"/>
    <w:rsid w:val="00CF37B5"/>
    <w:rsid w:val="00CF3FBC"/>
    <w:rsid w:val="00CF4121"/>
    <w:rsid w:val="00CF41FA"/>
    <w:rsid w:val="00CF438B"/>
    <w:rsid w:val="00CF47C3"/>
    <w:rsid w:val="00CF4F70"/>
    <w:rsid w:val="00CF5275"/>
    <w:rsid w:val="00CF710E"/>
    <w:rsid w:val="00CF7A60"/>
    <w:rsid w:val="00D00F26"/>
    <w:rsid w:val="00D00F73"/>
    <w:rsid w:val="00D01108"/>
    <w:rsid w:val="00D01DDF"/>
    <w:rsid w:val="00D02234"/>
    <w:rsid w:val="00D034B5"/>
    <w:rsid w:val="00D03859"/>
    <w:rsid w:val="00D040B0"/>
    <w:rsid w:val="00D049F7"/>
    <w:rsid w:val="00D05C65"/>
    <w:rsid w:val="00D1044C"/>
    <w:rsid w:val="00D11BC2"/>
    <w:rsid w:val="00D11C99"/>
    <w:rsid w:val="00D12062"/>
    <w:rsid w:val="00D12852"/>
    <w:rsid w:val="00D139FE"/>
    <w:rsid w:val="00D1704E"/>
    <w:rsid w:val="00D17823"/>
    <w:rsid w:val="00D205B6"/>
    <w:rsid w:val="00D21031"/>
    <w:rsid w:val="00D211BF"/>
    <w:rsid w:val="00D21B48"/>
    <w:rsid w:val="00D22128"/>
    <w:rsid w:val="00D22E86"/>
    <w:rsid w:val="00D23191"/>
    <w:rsid w:val="00D23C96"/>
    <w:rsid w:val="00D245C6"/>
    <w:rsid w:val="00D24BA3"/>
    <w:rsid w:val="00D24DDB"/>
    <w:rsid w:val="00D2571F"/>
    <w:rsid w:val="00D25DF5"/>
    <w:rsid w:val="00D26196"/>
    <w:rsid w:val="00D2697D"/>
    <w:rsid w:val="00D273FF"/>
    <w:rsid w:val="00D30331"/>
    <w:rsid w:val="00D31B76"/>
    <w:rsid w:val="00D324A1"/>
    <w:rsid w:val="00D32B65"/>
    <w:rsid w:val="00D33B81"/>
    <w:rsid w:val="00D33F08"/>
    <w:rsid w:val="00D341FC"/>
    <w:rsid w:val="00D34A15"/>
    <w:rsid w:val="00D35AA5"/>
    <w:rsid w:val="00D35C0A"/>
    <w:rsid w:val="00D35F93"/>
    <w:rsid w:val="00D37AE2"/>
    <w:rsid w:val="00D401DE"/>
    <w:rsid w:val="00D41697"/>
    <w:rsid w:val="00D436A5"/>
    <w:rsid w:val="00D44A0A"/>
    <w:rsid w:val="00D44C11"/>
    <w:rsid w:val="00D44E57"/>
    <w:rsid w:val="00D45B99"/>
    <w:rsid w:val="00D4626C"/>
    <w:rsid w:val="00D462B3"/>
    <w:rsid w:val="00D46AEC"/>
    <w:rsid w:val="00D47C72"/>
    <w:rsid w:val="00D51041"/>
    <w:rsid w:val="00D517D4"/>
    <w:rsid w:val="00D528F2"/>
    <w:rsid w:val="00D54DE6"/>
    <w:rsid w:val="00D55356"/>
    <w:rsid w:val="00D55ACF"/>
    <w:rsid w:val="00D56429"/>
    <w:rsid w:val="00D564F8"/>
    <w:rsid w:val="00D56562"/>
    <w:rsid w:val="00D56B99"/>
    <w:rsid w:val="00D60593"/>
    <w:rsid w:val="00D60F8B"/>
    <w:rsid w:val="00D61632"/>
    <w:rsid w:val="00D618CF"/>
    <w:rsid w:val="00D61BCC"/>
    <w:rsid w:val="00D62FFC"/>
    <w:rsid w:val="00D6350C"/>
    <w:rsid w:val="00D6386F"/>
    <w:rsid w:val="00D63F43"/>
    <w:rsid w:val="00D646F4"/>
    <w:rsid w:val="00D64BD7"/>
    <w:rsid w:val="00D6555C"/>
    <w:rsid w:val="00D65860"/>
    <w:rsid w:val="00D658B8"/>
    <w:rsid w:val="00D66A28"/>
    <w:rsid w:val="00D67E56"/>
    <w:rsid w:val="00D71493"/>
    <w:rsid w:val="00D71E58"/>
    <w:rsid w:val="00D7351F"/>
    <w:rsid w:val="00D736E1"/>
    <w:rsid w:val="00D73A20"/>
    <w:rsid w:val="00D74757"/>
    <w:rsid w:val="00D7518B"/>
    <w:rsid w:val="00D77EFD"/>
    <w:rsid w:val="00D80DC3"/>
    <w:rsid w:val="00D82E34"/>
    <w:rsid w:val="00D8438F"/>
    <w:rsid w:val="00D84F15"/>
    <w:rsid w:val="00D86744"/>
    <w:rsid w:val="00D8691F"/>
    <w:rsid w:val="00D87792"/>
    <w:rsid w:val="00D87F6C"/>
    <w:rsid w:val="00D90924"/>
    <w:rsid w:val="00D910CB"/>
    <w:rsid w:val="00D91297"/>
    <w:rsid w:val="00D91C3A"/>
    <w:rsid w:val="00D921F4"/>
    <w:rsid w:val="00D9225E"/>
    <w:rsid w:val="00D92A5C"/>
    <w:rsid w:val="00D9339C"/>
    <w:rsid w:val="00D93C94"/>
    <w:rsid w:val="00D93CA3"/>
    <w:rsid w:val="00D94676"/>
    <w:rsid w:val="00D95983"/>
    <w:rsid w:val="00D95D7A"/>
    <w:rsid w:val="00D96C8B"/>
    <w:rsid w:val="00D97BF9"/>
    <w:rsid w:val="00DA0FC6"/>
    <w:rsid w:val="00DA1642"/>
    <w:rsid w:val="00DA1B2A"/>
    <w:rsid w:val="00DA27A6"/>
    <w:rsid w:val="00DA2EFD"/>
    <w:rsid w:val="00DA2FE1"/>
    <w:rsid w:val="00DA3498"/>
    <w:rsid w:val="00DA3F40"/>
    <w:rsid w:val="00DA5CD3"/>
    <w:rsid w:val="00DA7491"/>
    <w:rsid w:val="00DA74F6"/>
    <w:rsid w:val="00DA755D"/>
    <w:rsid w:val="00DA769F"/>
    <w:rsid w:val="00DA7BD5"/>
    <w:rsid w:val="00DB04EE"/>
    <w:rsid w:val="00DB24A7"/>
    <w:rsid w:val="00DB2C71"/>
    <w:rsid w:val="00DB40CD"/>
    <w:rsid w:val="00DB4154"/>
    <w:rsid w:val="00DB4A35"/>
    <w:rsid w:val="00DB5143"/>
    <w:rsid w:val="00DB5BC6"/>
    <w:rsid w:val="00DB6607"/>
    <w:rsid w:val="00DB6EA8"/>
    <w:rsid w:val="00DC2887"/>
    <w:rsid w:val="00DC3442"/>
    <w:rsid w:val="00DC359E"/>
    <w:rsid w:val="00DC39C9"/>
    <w:rsid w:val="00DC4BBC"/>
    <w:rsid w:val="00DC7207"/>
    <w:rsid w:val="00DD06DD"/>
    <w:rsid w:val="00DD15A2"/>
    <w:rsid w:val="00DD1D9D"/>
    <w:rsid w:val="00DD206D"/>
    <w:rsid w:val="00DD351D"/>
    <w:rsid w:val="00DD42E1"/>
    <w:rsid w:val="00DD45D3"/>
    <w:rsid w:val="00DD482F"/>
    <w:rsid w:val="00DD4D3F"/>
    <w:rsid w:val="00DD543D"/>
    <w:rsid w:val="00DD594D"/>
    <w:rsid w:val="00DD6C60"/>
    <w:rsid w:val="00DD75AE"/>
    <w:rsid w:val="00DE011E"/>
    <w:rsid w:val="00DE0517"/>
    <w:rsid w:val="00DE1801"/>
    <w:rsid w:val="00DE1E5C"/>
    <w:rsid w:val="00DE463B"/>
    <w:rsid w:val="00DE6DF1"/>
    <w:rsid w:val="00DE7519"/>
    <w:rsid w:val="00DE7800"/>
    <w:rsid w:val="00DF1230"/>
    <w:rsid w:val="00DF16D6"/>
    <w:rsid w:val="00DF18D0"/>
    <w:rsid w:val="00DF2E12"/>
    <w:rsid w:val="00DF3646"/>
    <w:rsid w:val="00DF50AB"/>
    <w:rsid w:val="00DF55F4"/>
    <w:rsid w:val="00DF6622"/>
    <w:rsid w:val="00DF667B"/>
    <w:rsid w:val="00DF6797"/>
    <w:rsid w:val="00DF7EA6"/>
    <w:rsid w:val="00E01448"/>
    <w:rsid w:val="00E02335"/>
    <w:rsid w:val="00E025D2"/>
    <w:rsid w:val="00E02AD1"/>
    <w:rsid w:val="00E02F5D"/>
    <w:rsid w:val="00E03251"/>
    <w:rsid w:val="00E03252"/>
    <w:rsid w:val="00E078DF"/>
    <w:rsid w:val="00E1020C"/>
    <w:rsid w:val="00E10500"/>
    <w:rsid w:val="00E10AFE"/>
    <w:rsid w:val="00E10EBA"/>
    <w:rsid w:val="00E12257"/>
    <w:rsid w:val="00E13125"/>
    <w:rsid w:val="00E13789"/>
    <w:rsid w:val="00E13BF3"/>
    <w:rsid w:val="00E14261"/>
    <w:rsid w:val="00E14511"/>
    <w:rsid w:val="00E15595"/>
    <w:rsid w:val="00E15E40"/>
    <w:rsid w:val="00E17748"/>
    <w:rsid w:val="00E17988"/>
    <w:rsid w:val="00E17EDE"/>
    <w:rsid w:val="00E20FDB"/>
    <w:rsid w:val="00E23244"/>
    <w:rsid w:val="00E23298"/>
    <w:rsid w:val="00E23BD2"/>
    <w:rsid w:val="00E26394"/>
    <w:rsid w:val="00E263F6"/>
    <w:rsid w:val="00E268CC"/>
    <w:rsid w:val="00E30861"/>
    <w:rsid w:val="00E30F99"/>
    <w:rsid w:val="00E30FF1"/>
    <w:rsid w:val="00E3101D"/>
    <w:rsid w:val="00E3347C"/>
    <w:rsid w:val="00E335F5"/>
    <w:rsid w:val="00E33B54"/>
    <w:rsid w:val="00E33E91"/>
    <w:rsid w:val="00E34156"/>
    <w:rsid w:val="00E34C1D"/>
    <w:rsid w:val="00E35B94"/>
    <w:rsid w:val="00E41635"/>
    <w:rsid w:val="00E421AD"/>
    <w:rsid w:val="00E42235"/>
    <w:rsid w:val="00E43EA7"/>
    <w:rsid w:val="00E503B2"/>
    <w:rsid w:val="00E50F97"/>
    <w:rsid w:val="00E52608"/>
    <w:rsid w:val="00E53A72"/>
    <w:rsid w:val="00E53ED3"/>
    <w:rsid w:val="00E54A65"/>
    <w:rsid w:val="00E55BB7"/>
    <w:rsid w:val="00E578CF"/>
    <w:rsid w:val="00E61446"/>
    <w:rsid w:val="00E64F23"/>
    <w:rsid w:val="00E6505C"/>
    <w:rsid w:val="00E666B0"/>
    <w:rsid w:val="00E67E6E"/>
    <w:rsid w:val="00E72837"/>
    <w:rsid w:val="00E73354"/>
    <w:rsid w:val="00E73594"/>
    <w:rsid w:val="00E74EF2"/>
    <w:rsid w:val="00E75D42"/>
    <w:rsid w:val="00E7607E"/>
    <w:rsid w:val="00E771E9"/>
    <w:rsid w:val="00E80AF1"/>
    <w:rsid w:val="00E81FAA"/>
    <w:rsid w:val="00E8262A"/>
    <w:rsid w:val="00E82ED7"/>
    <w:rsid w:val="00E837B2"/>
    <w:rsid w:val="00E851A8"/>
    <w:rsid w:val="00E86543"/>
    <w:rsid w:val="00E86753"/>
    <w:rsid w:val="00E870A9"/>
    <w:rsid w:val="00E87712"/>
    <w:rsid w:val="00E87E50"/>
    <w:rsid w:val="00E87ED7"/>
    <w:rsid w:val="00E90442"/>
    <w:rsid w:val="00E906B9"/>
    <w:rsid w:val="00E918AF"/>
    <w:rsid w:val="00E9290A"/>
    <w:rsid w:val="00E93B46"/>
    <w:rsid w:val="00E962A2"/>
    <w:rsid w:val="00E9639C"/>
    <w:rsid w:val="00E96466"/>
    <w:rsid w:val="00E9672D"/>
    <w:rsid w:val="00E96D5B"/>
    <w:rsid w:val="00E96DAA"/>
    <w:rsid w:val="00E97192"/>
    <w:rsid w:val="00EA0FFB"/>
    <w:rsid w:val="00EA14D6"/>
    <w:rsid w:val="00EA1D35"/>
    <w:rsid w:val="00EA1E0C"/>
    <w:rsid w:val="00EA20DC"/>
    <w:rsid w:val="00EA268E"/>
    <w:rsid w:val="00EA4461"/>
    <w:rsid w:val="00EA44D1"/>
    <w:rsid w:val="00EA47D8"/>
    <w:rsid w:val="00EA4808"/>
    <w:rsid w:val="00EA528D"/>
    <w:rsid w:val="00EA6952"/>
    <w:rsid w:val="00EA73AE"/>
    <w:rsid w:val="00EB1BC4"/>
    <w:rsid w:val="00EB4BCD"/>
    <w:rsid w:val="00EB6652"/>
    <w:rsid w:val="00EB6C85"/>
    <w:rsid w:val="00EB7952"/>
    <w:rsid w:val="00EB7FA9"/>
    <w:rsid w:val="00EC2579"/>
    <w:rsid w:val="00EC2648"/>
    <w:rsid w:val="00EC2AA8"/>
    <w:rsid w:val="00EC44EC"/>
    <w:rsid w:val="00EC472F"/>
    <w:rsid w:val="00EC4FB0"/>
    <w:rsid w:val="00EC6CF7"/>
    <w:rsid w:val="00EC724C"/>
    <w:rsid w:val="00EC7608"/>
    <w:rsid w:val="00EC7E59"/>
    <w:rsid w:val="00ED0ED6"/>
    <w:rsid w:val="00ED1101"/>
    <w:rsid w:val="00ED4554"/>
    <w:rsid w:val="00ED4C28"/>
    <w:rsid w:val="00ED5428"/>
    <w:rsid w:val="00ED5696"/>
    <w:rsid w:val="00ED5BA0"/>
    <w:rsid w:val="00EE13A1"/>
    <w:rsid w:val="00EE1C86"/>
    <w:rsid w:val="00EE2194"/>
    <w:rsid w:val="00EE21A2"/>
    <w:rsid w:val="00EE34AE"/>
    <w:rsid w:val="00EE3BC0"/>
    <w:rsid w:val="00EE626C"/>
    <w:rsid w:val="00EE7132"/>
    <w:rsid w:val="00EF0835"/>
    <w:rsid w:val="00EF0C59"/>
    <w:rsid w:val="00EF54F7"/>
    <w:rsid w:val="00EF719B"/>
    <w:rsid w:val="00F010EC"/>
    <w:rsid w:val="00F02D8B"/>
    <w:rsid w:val="00F03690"/>
    <w:rsid w:val="00F03B3D"/>
    <w:rsid w:val="00F03CE9"/>
    <w:rsid w:val="00F043A9"/>
    <w:rsid w:val="00F049A8"/>
    <w:rsid w:val="00F04B16"/>
    <w:rsid w:val="00F066CB"/>
    <w:rsid w:val="00F06AF3"/>
    <w:rsid w:val="00F07670"/>
    <w:rsid w:val="00F07CCE"/>
    <w:rsid w:val="00F123AE"/>
    <w:rsid w:val="00F144FA"/>
    <w:rsid w:val="00F14DA0"/>
    <w:rsid w:val="00F15F50"/>
    <w:rsid w:val="00F1764E"/>
    <w:rsid w:val="00F20194"/>
    <w:rsid w:val="00F21193"/>
    <w:rsid w:val="00F21878"/>
    <w:rsid w:val="00F22274"/>
    <w:rsid w:val="00F2282A"/>
    <w:rsid w:val="00F22867"/>
    <w:rsid w:val="00F233F5"/>
    <w:rsid w:val="00F246B2"/>
    <w:rsid w:val="00F24706"/>
    <w:rsid w:val="00F248D3"/>
    <w:rsid w:val="00F2582B"/>
    <w:rsid w:val="00F26C66"/>
    <w:rsid w:val="00F276D1"/>
    <w:rsid w:val="00F27D4F"/>
    <w:rsid w:val="00F303BF"/>
    <w:rsid w:val="00F30CA6"/>
    <w:rsid w:val="00F318DF"/>
    <w:rsid w:val="00F32066"/>
    <w:rsid w:val="00F338FA"/>
    <w:rsid w:val="00F33B7F"/>
    <w:rsid w:val="00F34D1A"/>
    <w:rsid w:val="00F3703B"/>
    <w:rsid w:val="00F370D7"/>
    <w:rsid w:val="00F3753D"/>
    <w:rsid w:val="00F37AD5"/>
    <w:rsid w:val="00F401B7"/>
    <w:rsid w:val="00F424CD"/>
    <w:rsid w:val="00F42F88"/>
    <w:rsid w:val="00F43145"/>
    <w:rsid w:val="00F440F8"/>
    <w:rsid w:val="00F44A94"/>
    <w:rsid w:val="00F44EBE"/>
    <w:rsid w:val="00F47680"/>
    <w:rsid w:val="00F47FC2"/>
    <w:rsid w:val="00F506BA"/>
    <w:rsid w:val="00F509E1"/>
    <w:rsid w:val="00F5114A"/>
    <w:rsid w:val="00F51685"/>
    <w:rsid w:val="00F51C5C"/>
    <w:rsid w:val="00F51C6C"/>
    <w:rsid w:val="00F51D6C"/>
    <w:rsid w:val="00F524FA"/>
    <w:rsid w:val="00F52972"/>
    <w:rsid w:val="00F529EE"/>
    <w:rsid w:val="00F52A35"/>
    <w:rsid w:val="00F5316F"/>
    <w:rsid w:val="00F535F6"/>
    <w:rsid w:val="00F53EAF"/>
    <w:rsid w:val="00F55027"/>
    <w:rsid w:val="00F55A6D"/>
    <w:rsid w:val="00F56244"/>
    <w:rsid w:val="00F56549"/>
    <w:rsid w:val="00F572F9"/>
    <w:rsid w:val="00F574BC"/>
    <w:rsid w:val="00F60459"/>
    <w:rsid w:val="00F61874"/>
    <w:rsid w:val="00F61CF7"/>
    <w:rsid w:val="00F6254D"/>
    <w:rsid w:val="00F63703"/>
    <w:rsid w:val="00F645AA"/>
    <w:rsid w:val="00F645D2"/>
    <w:rsid w:val="00F64A84"/>
    <w:rsid w:val="00F64F6D"/>
    <w:rsid w:val="00F66AF8"/>
    <w:rsid w:val="00F66B0A"/>
    <w:rsid w:val="00F6798F"/>
    <w:rsid w:val="00F70BFD"/>
    <w:rsid w:val="00F718B2"/>
    <w:rsid w:val="00F72D2E"/>
    <w:rsid w:val="00F73968"/>
    <w:rsid w:val="00F752B3"/>
    <w:rsid w:val="00F7540C"/>
    <w:rsid w:val="00F75C2E"/>
    <w:rsid w:val="00F765D6"/>
    <w:rsid w:val="00F8032B"/>
    <w:rsid w:val="00F80804"/>
    <w:rsid w:val="00F80CAA"/>
    <w:rsid w:val="00F81275"/>
    <w:rsid w:val="00F82A4B"/>
    <w:rsid w:val="00F84234"/>
    <w:rsid w:val="00F852CB"/>
    <w:rsid w:val="00F90947"/>
    <w:rsid w:val="00F915B2"/>
    <w:rsid w:val="00F9183E"/>
    <w:rsid w:val="00F920C8"/>
    <w:rsid w:val="00F92D9D"/>
    <w:rsid w:val="00F9382F"/>
    <w:rsid w:val="00F943F7"/>
    <w:rsid w:val="00F952E3"/>
    <w:rsid w:val="00F96DAF"/>
    <w:rsid w:val="00F97564"/>
    <w:rsid w:val="00F97A8A"/>
    <w:rsid w:val="00FA09D2"/>
    <w:rsid w:val="00FA1220"/>
    <w:rsid w:val="00FA1CB2"/>
    <w:rsid w:val="00FA3086"/>
    <w:rsid w:val="00FA34E3"/>
    <w:rsid w:val="00FA39EB"/>
    <w:rsid w:val="00FA535A"/>
    <w:rsid w:val="00FA5628"/>
    <w:rsid w:val="00FA6FBA"/>
    <w:rsid w:val="00FA762A"/>
    <w:rsid w:val="00FA7CDB"/>
    <w:rsid w:val="00FB00F8"/>
    <w:rsid w:val="00FB0136"/>
    <w:rsid w:val="00FB0144"/>
    <w:rsid w:val="00FB23AA"/>
    <w:rsid w:val="00FB2849"/>
    <w:rsid w:val="00FB41C9"/>
    <w:rsid w:val="00FB4BC8"/>
    <w:rsid w:val="00FB4E42"/>
    <w:rsid w:val="00FB6F34"/>
    <w:rsid w:val="00FB7D7B"/>
    <w:rsid w:val="00FB7E45"/>
    <w:rsid w:val="00FB7F14"/>
    <w:rsid w:val="00FC135D"/>
    <w:rsid w:val="00FC1C30"/>
    <w:rsid w:val="00FC233F"/>
    <w:rsid w:val="00FC2572"/>
    <w:rsid w:val="00FC2DF5"/>
    <w:rsid w:val="00FC34CF"/>
    <w:rsid w:val="00FC39DA"/>
    <w:rsid w:val="00FC3CA1"/>
    <w:rsid w:val="00FC5153"/>
    <w:rsid w:val="00FC55C3"/>
    <w:rsid w:val="00FC5C68"/>
    <w:rsid w:val="00FC61F2"/>
    <w:rsid w:val="00FC7B48"/>
    <w:rsid w:val="00FC7B72"/>
    <w:rsid w:val="00FD026F"/>
    <w:rsid w:val="00FD1A48"/>
    <w:rsid w:val="00FD280F"/>
    <w:rsid w:val="00FD2861"/>
    <w:rsid w:val="00FD3140"/>
    <w:rsid w:val="00FD336B"/>
    <w:rsid w:val="00FD36E9"/>
    <w:rsid w:val="00FD403E"/>
    <w:rsid w:val="00FD4711"/>
    <w:rsid w:val="00FD5246"/>
    <w:rsid w:val="00FD6521"/>
    <w:rsid w:val="00FE0B12"/>
    <w:rsid w:val="00FE0B7B"/>
    <w:rsid w:val="00FE1BB5"/>
    <w:rsid w:val="00FE1E60"/>
    <w:rsid w:val="00FE2E30"/>
    <w:rsid w:val="00FE36BC"/>
    <w:rsid w:val="00FE3859"/>
    <w:rsid w:val="00FE3E32"/>
    <w:rsid w:val="00FE40B9"/>
    <w:rsid w:val="00FE4CC3"/>
    <w:rsid w:val="00FE4FCD"/>
    <w:rsid w:val="00FE53C0"/>
    <w:rsid w:val="00FE5604"/>
    <w:rsid w:val="00FE5AB4"/>
    <w:rsid w:val="00FE5FEB"/>
    <w:rsid w:val="00FE6038"/>
    <w:rsid w:val="00FE61C3"/>
    <w:rsid w:val="00FE634A"/>
    <w:rsid w:val="00FE67B5"/>
    <w:rsid w:val="00FE7025"/>
    <w:rsid w:val="00FE755B"/>
    <w:rsid w:val="00FF0F1D"/>
    <w:rsid w:val="00FF19CB"/>
    <w:rsid w:val="00FF1B5B"/>
    <w:rsid w:val="00FF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04DE5D1-9230-439E-B912-F7AA669F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21"/>
    <w:rPr>
      <w:sz w:val="24"/>
      <w:szCs w:val="24"/>
    </w:rPr>
  </w:style>
  <w:style w:type="paragraph" w:styleId="Heading1">
    <w:name w:val="heading 1"/>
    <w:basedOn w:val="Normal"/>
    <w:next w:val="Normal"/>
    <w:qFormat/>
    <w:rsid w:val="00CF4121"/>
    <w:pPr>
      <w:keepNext/>
      <w:outlineLvl w:val="0"/>
    </w:pPr>
    <w:rPr>
      <w:szCs w:val="20"/>
    </w:rPr>
  </w:style>
  <w:style w:type="paragraph" w:styleId="Heading2">
    <w:name w:val="heading 2"/>
    <w:basedOn w:val="Normal"/>
    <w:next w:val="Normal"/>
    <w:link w:val="Heading2Char"/>
    <w:uiPriority w:val="9"/>
    <w:qFormat/>
    <w:rsid w:val="00CF4121"/>
    <w:pPr>
      <w:keepNext/>
      <w:outlineLvl w:val="1"/>
    </w:pPr>
    <w:rPr>
      <w:b/>
      <w:szCs w:val="20"/>
    </w:rPr>
  </w:style>
  <w:style w:type="paragraph" w:styleId="Heading3">
    <w:name w:val="heading 3"/>
    <w:basedOn w:val="Normal"/>
    <w:next w:val="Normal"/>
    <w:qFormat/>
    <w:rsid w:val="00CF4121"/>
    <w:pPr>
      <w:keepNext/>
      <w:jc w:val="center"/>
      <w:outlineLvl w:val="2"/>
    </w:pPr>
    <w:rPr>
      <w:b/>
      <w:sz w:val="28"/>
      <w:szCs w:val="20"/>
    </w:rPr>
  </w:style>
  <w:style w:type="paragraph" w:styleId="Heading4">
    <w:name w:val="heading 4"/>
    <w:basedOn w:val="Normal"/>
    <w:next w:val="Normal"/>
    <w:link w:val="Heading4Char"/>
    <w:qFormat/>
    <w:rsid w:val="00CF4121"/>
    <w:pPr>
      <w:keepNext/>
      <w:tabs>
        <w:tab w:val="right" w:leader="dot" w:pos="-1440"/>
        <w:tab w:val="left" w:pos="-360"/>
        <w:tab w:val="left" w:pos="0"/>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s>
      <w:suppressAutoHyphens/>
      <w:outlineLvl w:val="3"/>
    </w:pPr>
    <w:rPr>
      <w:b/>
      <w:szCs w:val="20"/>
      <w:u w:val="single"/>
    </w:rPr>
  </w:style>
  <w:style w:type="paragraph" w:styleId="Heading5">
    <w:name w:val="heading 5"/>
    <w:basedOn w:val="Normal"/>
    <w:next w:val="Normal"/>
    <w:qFormat/>
    <w:rsid w:val="00CF4121"/>
    <w:pPr>
      <w:keepNext/>
      <w:ind w:left="90"/>
      <w:outlineLvl w:val="4"/>
    </w:pPr>
    <w:rPr>
      <w:b/>
      <w:szCs w:val="20"/>
    </w:rPr>
  </w:style>
  <w:style w:type="paragraph" w:styleId="Heading6">
    <w:name w:val="heading 6"/>
    <w:basedOn w:val="Normal"/>
    <w:next w:val="Normal"/>
    <w:qFormat/>
    <w:rsid w:val="00CF4121"/>
    <w:pPr>
      <w:keepNext/>
      <w:outlineLvl w:val="5"/>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4121"/>
    <w:pPr>
      <w:spacing w:before="100" w:beforeAutospacing="1"/>
    </w:pPr>
    <w:rPr>
      <w:rFonts w:ascii="Tahoma" w:eastAsia="Arial Unicode MS" w:hAnsi="Tahoma" w:cs="Tahoma"/>
      <w:sz w:val="16"/>
      <w:szCs w:val="16"/>
    </w:rPr>
  </w:style>
  <w:style w:type="paragraph" w:styleId="EndnoteText">
    <w:name w:val="endnote text"/>
    <w:basedOn w:val="Normal"/>
    <w:semiHidden/>
    <w:rsid w:val="00CF4121"/>
    <w:rPr>
      <w:szCs w:val="20"/>
    </w:rPr>
  </w:style>
  <w:style w:type="paragraph" w:styleId="BodyText">
    <w:name w:val="Body Text"/>
    <w:basedOn w:val="Normal"/>
    <w:link w:val="BodyTextChar"/>
    <w:uiPriority w:val="99"/>
    <w:rsid w:val="00CF4121"/>
    <w:rPr>
      <w:szCs w:val="20"/>
    </w:rPr>
  </w:style>
  <w:style w:type="paragraph" w:styleId="BodyTextIndent">
    <w:name w:val="Body Text Indent"/>
    <w:basedOn w:val="Normal"/>
    <w:rsid w:val="00CF4121"/>
    <w:pPr>
      <w:tabs>
        <w:tab w:val="right" w:leader="dot" w:pos="-144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960" w:hanging="3960"/>
    </w:pPr>
    <w:rPr>
      <w:szCs w:val="20"/>
    </w:rPr>
  </w:style>
  <w:style w:type="paragraph" w:styleId="BodyText2">
    <w:name w:val="Body Text 2"/>
    <w:basedOn w:val="Normal"/>
    <w:rsid w:val="00CF4121"/>
    <w:pPr>
      <w:tabs>
        <w:tab w:val="right" w:leader="dot" w:pos="-144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sz w:val="22"/>
      <w:szCs w:val="20"/>
    </w:rPr>
  </w:style>
  <w:style w:type="paragraph" w:styleId="BodyText3">
    <w:name w:val="Body Text 3"/>
    <w:basedOn w:val="Normal"/>
    <w:rsid w:val="00CF4121"/>
    <w:rPr>
      <w:b/>
      <w:color w:val="FF0000"/>
      <w:szCs w:val="20"/>
    </w:rPr>
  </w:style>
  <w:style w:type="paragraph" w:styleId="BodyTextIndent3">
    <w:name w:val="Body Text Indent 3"/>
    <w:basedOn w:val="Normal"/>
    <w:rsid w:val="00CF4121"/>
    <w:pPr>
      <w:tabs>
        <w:tab w:val="left" w:pos="1530"/>
        <w:tab w:val="left" w:pos="1620"/>
      </w:tabs>
      <w:ind w:left="1620"/>
    </w:pPr>
    <w:rPr>
      <w:szCs w:val="20"/>
    </w:rPr>
  </w:style>
  <w:style w:type="paragraph" w:styleId="Footer">
    <w:name w:val="footer"/>
    <w:basedOn w:val="Normal"/>
    <w:link w:val="FooterChar"/>
    <w:uiPriority w:val="99"/>
    <w:rsid w:val="00CF4121"/>
    <w:pPr>
      <w:tabs>
        <w:tab w:val="center" w:pos="4320"/>
        <w:tab w:val="right" w:pos="8640"/>
      </w:tabs>
    </w:pPr>
  </w:style>
  <w:style w:type="character" w:styleId="PageNumber">
    <w:name w:val="page number"/>
    <w:basedOn w:val="DefaultParagraphFont"/>
    <w:rsid w:val="00CF4121"/>
  </w:style>
  <w:style w:type="paragraph" w:styleId="DocumentMap">
    <w:name w:val="Document Map"/>
    <w:basedOn w:val="Normal"/>
    <w:semiHidden/>
    <w:rsid w:val="00CF4121"/>
    <w:pPr>
      <w:shd w:val="clear" w:color="auto" w:fill="000080"/>
    </w:pPr>
    <w:rPr>
      <w:rFonts w:ascii="Tahoma" w:hAnsi="Tahoma" w:cs="Tahoma"/>
    </w:rPr>
  </w:style>
  <w:style w:type="character" w:styleId="CommentReference">
    <w:name w:val="annotation reference"/>
    <w:basedOn w:val="DefaultParagraphFont"/>
    <w:semiHidden/>
    <w:rsid w:val="00C233CC"/>
    <w:rPr>
      <w:sz w:val="16"/>
      <w:szCs w:val="16"/>
    </w:rPr>
  </w:style>
  <w:style w:type="paragraph" w:styleId="CommentText">
    <w:name w:val="annotation text"/>
    <w:basedOn w:val="Normal"/>
    <w:link w:val="CommentTextChar"/>
    <w:semiHidden/>
    <w:rsid w:val="00C233CC"/>
    <w:rPr>
      <w:sz w:val="20"/>
      <w:szCs w:val="20"/>
    </w:rPr>
  </w:style>
  <w:style w:type="paragraph" w:styleId="CommentSubject">
    <w:name w:val="annotation subject"/>
    <w:basedOn w:val="CommentText"/>
    <w:next w:val="CommentText"/>
    <w:semiHidden/>
    <w:rsid w:val="00C233CC"/>
    <w:rPr>
      <w:b/>
      <w:bCs/>
    </w:rPr>
  </w:style>
  <w:style w:type="paragraph" w:styleId="BalloonText">
    <w:name w:val="Balloon Text"/>
    <w:basedOn w:val="Normal"/>
    <w:semiHidden/>
    <w:rsid w:val="00C233CC"/>
    <w:rPr>
      <w:rFonts w:ascii="Tahoma" w:hAnsi="Tahoma" w:cs="Tahoma"/>
      <w:sz w:val="16"/>
      <w:szCs w:val="16"/>
    </w:rPr>
  </w:style>
  <w:style w:type="paragraph" w:styleId="NormalIndent">
    <w:name w:val="Normal Indent"/>
    <w:basedOn w:val="Normal"/>
    <w:rsid w:val="003C0FE0"/>
    <w:pPr>
      <w:spacing w:after="240"/>
      <w:ind w:left="720"/>
    </w:pPr>
  </w:style>
  <w:style w:type="paragraph" w:styleId="Header">
    <w:name w:val="header"/>
    <w:basedOn w:val="Normal"/>
    <w:link w:val="HeaderChar"/>
    <w:rsid w:val="006A4E0D"/>
    <w:pPr>
      <w:tabs>
        <w:tab w:val="center" w:pos="4680"/>
        <w:tab w:val="right" w:pos="9360"/>
      </w:tabs>
    </w:pPr>
  </w:style>
  <w:style w:type="character" w:customStyle="1" w:styleId="HeaderChar">
    <w:name w:val="Header Char"/>
    <w:basedOn w:val="DefaultParagraphFont"/>
    <w:link w:val="Header"/>
    <w:rsid w:val="006A4E0D"/>
    <w:rPr>
      <w:sz w:val="24"/>
      <w:szCs w:val="24"/>
    </w:rPr>
  </w:style>
  <w:style w:type="character" w:customStyle="1" w:styleId="FooterChar">
    <w:name w:val="Footer Char"/>
    <w:basedOn w:val="DefaultParagraphFont"/>
    <w:link w:val="Footer"/>
    <w:uiPriority w:val="99"/>
    <w:rsid w:val="006A4E0D"/>
    <w:rPr>
      <w:sz w:val="24"/>
      <w:szCs w:val="24"/>
    </w:rPr>
  </w:style>
  <w:style w:type="character" w:customStyle="1" w:styleId="Heading2Char">
    <w:name w:val="Heading 2 Char"/>
    <w:basedOn w:val="DefaultParagraphFont"/>
    <w:link w:val="Heading2"/>
    <w:uiPriority w:val="9"/>
    <w:rsid w:val="00875A41"/>
    <w:rPr>
      <w:b/>
      <w:sz w:val="24"/>
    </w:rPr>
  </w:style>
  <w:style w:type="character" w:customStyle="1" w:styleId="BodyTextChar">
    <w:name w:val="Body Text Char"/>
    <w:basedOn w:val="DefaultParagraphFont"/>
    <w:link w:val="BodyText"/>
    <w:uiPriority w:val="99"/>
    <w:rsid w:val="00875A41"/>
    <w:rPr>
      <w:sz w:val="24"/>
    </w:rPr>
  </w:style>
  <w:style w:type="paragraph" w:styleId="PlainText">
    <w:name w:val="Plain Text"/>
    <w:basedOn w:val="Normal"/>
    <w:link w:val="PlainTextChar"/>
    <w:uiPriority w:val="99"/>
    <w:unhideWhenUsed/>
    <w:rsid w:val="008A3CAD"/>
    <w:rPr>
      <w:rFonts w:ascii="Consolas" w:eastAsia="Calibri" w:hAnsi="Consolas"/>
      <w:sz w:val="21"/>
      <w:szCs w:val="21"/>
    </w:rPr>
  </w:style>
  <w:style w:type="character" w:customStyle="1" w:styleId="PlainTextChar">
    <w:name w:val="Plain Text Char"/>
    <w:basedOn w:val="DefaultParagraphFont"/>
    <w:link w:val="PlainText"/>
    <w:uiPriority w:val="99"/>
    <w:rsid w:val="008A3CAD"/>
    <w:rPr>
      <w:rFonts w:ascii="Consolas" w:eastAsia="Calibri" w:hAnsi="Consolas" w:cs="Times New Roman"/>
      <w:sz w:val="21"/>
      <w:szCs w:val="21"/>
    </w:rPr>
  </w:style>
  <w:style w:type="paragraph" w:styleId="ListParagraph">
    <w:name w:val="List Paragraph"/>
    <w:basedOn w:val="Normal"/>
    <w:uiPriority w:val="34"/>
    <w:qFormat/>
    <w:rsid w:val="000E6A21"/>
    <w:pPr>
      <w:ind w:left="720"/>
    </w:pPr>
    <w:rPr>
      <w:rFonts w:eastAsia="Calibri"/>
    </w:rPr>
  </w:style>
  <w:style w:type="character" w:customStyle="1" w:styleId="CommentTextChar">
    <w:name w:val="Comment Text Char"/>
    <w:basedOn w:val="DefaultParagraphFont"/>
    <w:link w:val="CommentText"/>
    <w:semiHidden/>
    <w:rsid w:val="001077D8"/>
  </w:style>
  <w:style w:type="character" w:customStyle="1" w:styleId="Heading4Char">
    <w:name w:val="Heading 4 Char"/>
    <w:basedOn w:val="DefaultParagraphFont"/>
    <w:link w:val="Heading4"/>
    <w:rsid w:val="00094FF5"/>
    <w:rPr>
      <w:b/>
      <w:sz w:val="24"/>
      <w:u w:val="single"/>
    </w:rPr>
  </w:style>
  <w:style w:type="character" w:styleId="Strong">
    <w:name w:val="Strong"/>
    <w:basedOn w:val="DefaultParagraphFont"/>
    <w:uiPriority w:val="22"/>
    <w:qFormat/>
    <w:rsid w:val="00574EA3"/>
    <w:rPr>
      <w:b/>
      <w:bCs/>
      <w:i w:val="0"/>
      <w:iCs w:val="0"/>
    </w:rPr>
  </w:style>
  <w:style w:type="paragraph" w:customStyle="1" w:styleId="Heading1-Exhibit">
    <w:name w:val="Heading 1 - Exhibit"/>
    <w:basedOn w:val="Heading1"/>
    <w:next w:val="Normal"/>
    <w:rsid w:val="007B4420"/>
    <w:pPr>
      <w:tabs>
        <w:tab w:val="left" w:pos="1800"/>
      </w:tabs>
      <w:spacing w:after="360"/>
      <w:jc w:val="center"/>
    </w:pPr>
    <w:rPr>
      <w:rFonts w:ascii="Arial" w:hAnsi="Arial" w:cs="Arial"/>
      <w:b/>
      <w:bCs/>
      <w:sz w:val="28"/>
      <w:szCs w:val="24"/>
    </w:rPr>
  </w:style>
  <w:style w:type="paragraph" w:customStyle="1" w:styleId="Custom">
    <w:name w:val="Custom"/>
    <w:basedOn w:val="Normal"/>
    <w:rsid w:val="007B4420"/>
    <w:rPr>
      <w:bCs/>
    </w:rPr>
  </w:style>
  <w:style w:type="character" w:styleId="Hyperlink">
    <w:name w:val="Hyperlink"/>
    <w:basedOn w:val="DefaultParagraphFont"/>
    <w:uiPriority w:val="99"/>
    <w:unhideWhenUsed/>
    <w:rsid w:val="00931B0A"/>
    <w:rPr>
      <w:color w:val="0000FF"/>
      <w:u w:val="single"/>
    </w:rPr>
  </w:style>
  <w:style w:type="table" w:styleId="TableGrid">
    <w:name w:val="Table Grid"/>
    <w:basedOn w:val="TableNormal"/>
    <w:rsid w:val="00803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rsid w:val="00FE7025"/>
    <w:rPr>
      <w:sz w:val="20"/>
      <w:szCs w:val="20"/>
    </w:rPr>
  </w:style>
  <w:style w:type="character" w:customStyle="1" w:styleId="FootnoteTextChar">
    <w:name w:val="Footnote Text Char"/>
    <w:basedOn w:val="DefaultParagraphFont"/>
    <w:link w:val="FootnoteText1"/>
    <w:uiPriority w:val="99"/>
    <w:rsid w:val="00FE7025"/>
    <w:rPr>
      <w:rFonts w:eastAsia="Times New Roman" w:cs="Times New Roman"/>
      <w:sz w:val="20"/>
      <w:szCs w:val="20"/>
    </w:rPr>
  </w:style>
  <w:style w:type="character" w:styleId="FootnoteReference">
    <w:name w:val="footnote reference"/>
    <w:basedOn w:val="DefaultParagraphFont"/>
    <w:rsid w:val="00FE7025"/>
    <w:rPr>
      <w:vertAlign w:val="superscript"/>
    </w:rPr>
  </w:style>
  <w:style w:type="paragraph" w:styleId="FootnoteText">
    <w:name w:val="footnote text"/>
    <w:basedOn w:val="Normal"/>
    <w:link w:val="FootnoteTextChar1"/>
    <w:uiPriority w:val="99"/>
    <w:rsid w:val="00FE7025"/>
    <w:rPr>
      <w:sz w:val="20"/>
      <w:szCs w:val="20"/>
    </w:rPr>
  </w:style>
  <w:style w:type="character" w:customStyle="1" w:styleId="FootnoteTextChar1">
    <w:name w:val="Footnote Text Char1"/>
    <w:basedOn w:val="DefaultParagraphFont"/>
    <w:link w:val="FootnoteText"/>
    <w:rsid w:val="00FE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1384">
      <w:bodyDiv w:val="1"/>
      <w:marLeft w:val="0"/>
      <w:marRight w:val="0"/>
      <w:marTop w:val="0"/>
      <w:marBottom w:val="0"/>
      <w:divBdr>
        <w:top w:val="none" w:sz="0" w:space="0" w:color="auto"/>
        <w:left w:val="none" w:sz="0" w:space="0" w:color="auto"/>
        <w:bottom w:val="none" w:sz="0" w:space="0" w:color="auto"/>
        <w:right w:val="none" w:sz="0" w:space="0" w:color="auto"/>
      </w:divBdr>
    </w:div>
    <w:div w:id="157118348">
      <w:bodyDiv w:val="1"/>
      <w:marLeft w:val="0"/>
      <w:marRight w:val="0"/>
      <w:marTop w:val="0"/>
      <w:marBottom w:val="0"/>
      <w:divBdr>
        <w:top w:val="none" w:sz="0" w:space="0" w:color="auto"/>
        <w:left w:val="none" w:sz="0" w:space="0" w:color="auto"/>
        <w:bottom w:val="none" w:sz="0" w:space="0" w:color="auto"/>
        <w:right w:val="none" w:sz="0" w:space="0" w:color="auto"/>
      </w:divBdr>
    </w:div>
    <w:div w:id="181432736">
      <w:bodyDiv w:val="1"/>
      <w:marLeft w:val="0"/>
      <w:marRight w:val="0"/>
      <w:marTop w:val="0"/>
      <w:marBottom w:val="0"/>
      <w:divBdr>
        <w:top w:val="none" w:sz="0" w:space="0" w:color="auto"/>
        <w:left w:val="none" w:sz="0" w:space="0" w:color="auto"/>
        <w:bottom w:val="none" w:sz="0" w:space="0" w:color="auto"/>
        <w:right w:val="none" w:sz="0" w:space="0" w:color="auto"/>
      </w:divBdr>
    </w:div>
    <w:div w:id="186255450">
      <w:bodyDiv w:val="1"/>
      <w:marLeft w:val="0"/>
      <w:marRight w:val="0"/>
      <w:marTop w:val="0"/>
      <w:marBottom w:val="0"/>
      <w:divBdr>
        <w:top w:val="none" w:sz="0" w:space="0" w:color="auto"/>
        <w:left w:val="none" w:sz="0" w:space="0" w:color="auto"/>
        <w:bottom w:val="none" w:sz="0" w:space="0" w:color="auto"/>
        <w:right w:val="none" w:sz="0" w:space="0" w:color="auto"/>
      </w:divBdr>
    </w:div>
    <w:div w:id="188644793">
      <w:bodyDiv w:val="1"/>
      <w:marLeft w:val="0"/>
      <w:marRight w:val="0"/>
      <w:marTop w:val="0"/>
      <w:marBottom w:val="0"/>
      <w:divBdr>
        <w:top w:val="none" w:sz="0" w:space="0" w:color="auto"/>
        <w:left w:val="none" w:sz="0" w:space="0" w:color="auto"/>
        <w:bottom w:val="none" w:sz="0" w:space="0" w:color="auto"/>
        <w:right w:val="none" w:sz="0" w:space="0" w:color="auto"/>
      </w:divBdr>
    </w:div>
    <w:div w:id="388266036">
      <w:bodyDiv w:val="1"/>
      <w:marLeft w:val="0"/>
      <w:marRight w:val="0"/>
      <w:marTop w:val="0"/>
      <w:marBottom w:val="0"/>
      <w:divBdr>
        <w:top w:val="none" w:sz="0" w:space="0" w:color="auto"/>
        <w:left w:val="none" w:sz="0" w:space="0" w:color="auto"/>
        <w:bottom w:val="none" w:sz="0" w:space="0" w:color="auto"/>
        <w:right w:val="none" w:sz="0" w:space="0" w:color="auto"/>
      </w:divBdr>
    </w:div>
    <w:div w:id="478502352">
      <w:bodyDiv w:val="1"/>
      <w:marLeft w:val="0"/>
      <w:marRight w:val="0"/>
      <w:marTop w:val="0"/>
      <w:marBottom w:val="0"/>
      <w:divBdr>
        <w:top w:val="none" w:sz="0" w:space="0" w:color="auto"/>
        <w:left w:val="none" w:sz="0" w:space="0" w:color="auto"/>
        <w:bottom w:val="none" w:sz="0" w:space="0" w:color="auto"/>
        <w:right w:val="none" w:sz="0" w:space="0" w:color="auto"/>
      </w:divBdr>
    </w:div>
    <w:div w:id="503477019">
      <w:bodyDiv w:val="1"/>
      <w:marLeft w:val="0"/>
      <w:marRight w:val="0"/>
      <w:marTop w:val="0"/>
      <w:marBottom w:val="0"/>
      <w:divBdr>
        <w:top w:val="none" w:sz="0" w:space="0" w:color="auto"/>
        <w:left w:val="none" w:sz="0" w:space="0" w:color="auto"/>
        <w:bottom w:val="none" w:sz="0" w:space="0" w:color="auto"/>
        <w:right w:val="none" w:sz="0" w:space="0" w:color="auto"/>
      </w:divBdr>
    </w:div>
    <w:div w:id="633099137">
      <w:bodyDiv w:val="1"/>
      <w:marLeft w:val="0"/>
      <w:marRight w:val="0"/>
      <w:marTop w:val="0"/>
      <w:marBottom w:val="0"/>
      <w:divBdr>
        <w:top w:val="none" w:sz="0" w:space="0" w:color="auto"/>
        <w:left w:val="none" w:sz="0" w:space="0" w:color="auto"/>
        <w:bottom w:val="none" w:sz="0" w:space="0" w:color="auto"/>
        <w:right w:val="none" w:sz="0" w:space="0" w:color="auto"/>
      </w:divBdr>
    </w:div>
    <w:div w:id="678779687">
      <w:bodyDiv w:val="1"/>
      <w:marLeft w:val="0"/>
      <w:marRight w:val="0"/>
      <w:marTop w:val="0"/>
      <w:marBottom w:val="0"/>
      <w:divBdr>
        <w:top w:val="none" w:sz="0" w:space="0" w:color="auto"/>
        <w:left w:val="none" w:sz="0" w:space="0" w:color="auto"/>
        <w:bottom w:val="none" w:sz="0" w:space="0" w:color="auto"/>
        <w:right w:val="none" w:sz="0" w:space="0" w:color="auto"/>
      </w:divBdr>
    </w:div>
    <w:div w:id="816647865">
      <w:bodyDiv w:val="1"/>
      <w:marLeft w:val="0"/>
      <w:marRight w:val="0"/>
      <w:marTop w:val="0"/>
      <w:marBottom w:val="0"/>
      <w:divBdr>
        <w:top w:val="none" w:sz="0" w:space="0" w:color="auto"/>
        <w:left w:val="none" w:sz="0" w:space="0" w:color="auto"/>
        <w:bottom w:val="none" w:sz="0" w:space="0" w:color="auto"/>
        <w:right w:val="none" w:sz="0" w:space="0" w:color="auto"/>
      </w:divBdr>
    </w:div>
    <w:div w:id="896015644">
      <w:bodyDiv w:val="1"/>
      <w:marLeft w:val="0"/>
      <w:marRight w:val="0"/>
      <w:marTop w:val="0"/>
      <w:marBottom w:val="0"/>
      <w:divBdr>
        <w:top w:val="none" w:sz="0" w:space="0" w:color="auto"/>
        <w:left w:val="none" w:sz="0" w:space="0" w:color="auto"/>
        <w:bottom w:val="none" w:sz="0" w:space="0" w:color="auto"/>
        <w:right w:val="none" w:sz="0" w:space="0" w:color="auto"/>
      </w:divBdr>
    </w:div>
    <w:div w:id="1143734782">
      <w:bodyDiv w:val="1"/>
      <w:marLeft w:val="0"/>
      <w:marRight w:val="0"/>
      <w:marTop w:val="0"/>
      <w:marBottom w:val="0"/>
      <w:divBdr>
        <w:top w:val="none" w:sz="0" w:space="0" w:color="auto"/>
        <w:left w:val="none" w:sz="0" w:space="0" w:color="auto"/>
        <w:bottom w:val="none" w:sz="0" w:space="0" w:color="auto"/>
        <w:right w:val="none" w:sz="0" w:space="0" w:color="auto"/>
      </w:divBdr>
    </w:div>
    <w:div w:id="1269581694">
      <w:bodyDiv w:val="1"/>
      <w:marLeft w:val="0"/>
      <w:marRight w:val="0"/>
      <w:marTop w:val="0"/>
      <w:marBottom w:val="0"/>
      <w:divBdr>
        <w:top w:val="none" w:sz="0" w:space="0" w:color="auto"/>
        <w:left w:val="none" w:sz="0" w:space="0" w:color="auto"/>
        <w:bottom w:val="none" w:sz="0" w:space="0" w:color="auto"/>
        <w:right w:val="none" w:sz="0" w:space="0" w:color="auto"/>
      </w:divBdr>
    </w:div>
    <w:div w:id="1361275198">
      <w:bodyDiv w:val="1"/>
      <w:marLeft w:val="0"/>
      <w:marRight w:val="0"/>
      <w:marTop w:val="0"/>
      <w:marBottom w:val="0"/>
      <w:divBdr>
        <w:top w:val="none" w:sz="0" w:space="0" w:color="auto"/>
        <w:left w:val="none" w:sz="0" w:space="0" w:color="auto"/>
        <w:bottom w:val="none" w:sz="0" w:space="0" w:color="auto"/>
        <w:right w:val="none" w:sz="0" w:space="0" w:color="auto"/>
      </w:divBdr>
    </w:div>
    <w:div w:id="1424447969">
      <w:bodyDiv w:val="1"/>
      <w:marLeft w:val="0"/>
      <w:marRight w:val="0"/>
      <w:marTop w:val="0"/>
      <w:marBottom w:val="0"/>
      <w:divBdr>
        <w:top w:val="none" w:sz="0" w:space="0" w:color="auto"/>
        <w:left w:val="none" w:sz="0" w:space="0" w:color="auto"/>
        <w:bottom w:val="none" w:sz="0" w:space="0" w:color="auto"/>
        <w:right w:val="none" w:sz="0" w:space="0" w:color="auto"/>
      </w:divBdr>
    </w:div>
    <w:div w:id="1432318683">
      <w:bodyDiv w:val="1"/>
      <w:marLeft w:val="0"/>
      <w:marRight w:val="0"/>
      <w:marTop w:val="0"/>
      <w:marBottom w:val="0"/>
      <w:divBdr>
        <w:top w:val="none" w:sz="0" w:space="0" w:color="auto"/>
        <w:left w:val="none" w:sz="0" w:space="0" w:color="auto"/>
        <w:bottom w:val="none" w:sz="0" w:space="0" w:color="auto"/>
        <w:right w:val="none" w:sz="0" w:space="0" w:color="auto"/>
      </w:divBdr>
    </w:div>
    <w:div w:id="1604872281">
      <w:bodyDiv w:val="1"/>
      <w:marLeft w:val="0"/>
      <w:marRight w:val="0"/>
      <w:marTop w:val="0"/>
      <w:marBottom w:val="0"/>
      <w:divBdr>
        <w:top w:val="none" w:sz="0" w:space="0" w:color="auto"/>
        <w:left w:val="none" w:sz="0" w:space="0" w:color="auto"/>
        <w:bottom w:val="none" w:sz="0" w:space="0" w:color="auto"/>
        <w:right w:val="none" w:sz="0" w:space="0" w:color="auto"/>
      </w:divBdr>
    </w:div>
    <w:div w:id="1620213446">
      <w:bodyDiv w:val="1"/>
      <w:marLeft w:val="0"/>
      <w:marRight w:val="0"/>
      <w:marTop w:val="0"/>
      <w:marBottom w:val="0"/>
      <w:divBdr>
        <w:top w:val="none" w:sz="0" w:space="0" w:color="auto"/>
        <w:left w:val="none" w:sz="0" w:space="0" w:color="auto"/>
        <w:bottom w:val="none" w:sz="0" w:space="0" w:color="auto"/>
        <w:right w:val="none" w:sz="0" w:space="0" w:color="auto"/>
      </w:divBdr>
    </w:div>
    <w:div w:id="1625505238">
      <w:bodyDiv w:val="1"/>
      <w:marLeft w:val="0"/>
      <w:marRight w:val="0"/>
      <w:marTop w:val="0"/>
      <w:marBottom w:val="0"/>
      <w:divBdr>
        <w:top w:val="none" w:sz="0" w:space="0" w:color="auto"/>
        <w:left w:val="none" w:sz="0" w:space="0" w:color="auto"/>
        <w:bottom w:val="none" w:sz="0" w:space="0" w:color="auto"/>
        <w:right w:val="none" w:sz="0" w:space="0" w:color="auto"/>
      </w:divBdr>
    </w:div>
    <w:div w:id="1703552824">
      <w:bodyDiv w:val="1"/>
      <w:marLeft w:val="0"/>
      <w:marRight w:val="0"/>
      <w:marTop w:val="0"/>
      <w:marBottom w:val="0"/>
      <w:divBdr>
        <w:top w:val="none" w:sz="0" w:space="0" w:color="auto"/>
        <w:left w:val="none" w:sz="0" w:space="0" w:color="auto"/>
        <w:bottom w:val="none" w:sz="0" w:space="0" w:color="auto"/>
        <w:right w:val="none" w:sz="0" w:space="0" w:color="auto"/>
      </w:divBdr>
    </w:div>
    <w:div w:id="2108306647">
      <w:bodyDiv w:val="1"/>
      <w:marLeft w:val="0"/>
      <w:marRight w:val="0"/>
      <w:marTop w:val="0"/>
      <w:marBottom w:val="0"/>
      <w:divBdr>
        <w:top w:val="none" w:sz="0" w:space="0" w:color="auto"/>
        <w:left w:val="none" w:sz="0" w:space="0" w:color="auto"/>
        <w:bottom w:val="none" w:sz="0" w:space="0" w:color="auto"/>
        <w:right w:val="none" w:sz="0" w:space="0" w:color="auto"/>
      </w:divBdr>
    </w:div>
    <w:div w:id="2110225548">
      <w:bodyDiv w:val="1"/>
      <w:marLeft w:val="0"/>
      <w:marRight w:val="0"/>
      <w:marTop w:val="0"/>
      <w:marBottom w:val="0"/>
      <w:divBdr>
        <w:top w:val="none" w:sz="0" w:space="0" w:color="auto"/>
        <w:left w:val="none" w:sz="0" w:space="0" w:color="auto"/>
        <w:bottom w:val="none" w:sz="0" w:space="0" w:color="auto"/>
        <w:right w:val="none" w:sz="0" w:space="0" w:color="auto"/>
      </w:divBdr>
    </w:div>
    <w:div w:id="2129078631">
      <w:bodyDiv w:val="1"/>
      <w:marLeft w:val="0"/>
      <w:marRight w:val="0"/>
      <w:marTop w:val="0"/>
      <w:marBottom w:val="0"/>
      <w:divBdr>
        <w:top w:val="none" w:sz="0" w:space="0" w:color="auto"/>
        <w:left w:val="none" w:sz="0" w:space="0" w:color="auto"/>
        <w:bottom w:val="none" w:sz="0" w:space="0" w:color="auto"/>
        <w:right w:val="none" w:sz="0" w:space="0" w:color="auto"/>
      </w:divBdr>
    </w:div>
    <w:div w:id="21449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Wx funding chart 2016.xlsx]Pivot 1!PivotTable1</c:name>
    <c:fmtId val="-1"/>
  </c:pivotSource>
  <c:chart>
    <c:title>
      <c:tx>
        <c:rich>
          <a:bodyPr/>
          <a:lstStyle/>
          <a:p>
            <a:pPr>
              <a:defRPr sz="1600"/>
            </a:pPr>
            <a:r>
              <a:rPr lang="en-US" sz="1600"/>
              <a:t>WA Low-Income Weatherization</a:t>
            </a:r>
            <a:r>
              <a:rPr lang="en-US" sz="1600" baseline="0"/>
              <a:t> Program Annual Program Budget in million $ by Fund Source</a:t>
            </a:r>
            <a:endParaRPr lang="en-US" sz="1600"/>
          </a:p>
        </c:rich>
      </c:tx>
      <c:layout>
        <c:manualLayout>
          <c:xMode val="edge"/>
          <c:yMode val="edge"/>
          <c:x val="0.16660337552742616"/>
          <c:y val="4.9368193616681884E-2"/>
        </c:manualLayout>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s>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'Pivot 1'!$B$3:$B$4</c:f>
              <c:strCache>
                <c:ptCount val="1"/>
                <c:pt idx="0">
                  <c:v>BPA</c:v>
                </c:pt>
              </c:strCache>
            </c:strRef>
          </c:tx>
          <c:invertIfNegative val="0"/>
          <c:cat>
            <c:strRef>
              <c:f>'Pivot 1'!$A$5:$A$10</c:f>
              <c:strCache>
                <c:ptCount val="5"/>
                <c:pt idx="0">
                  <c:v>FY 2012</c:v>
                </c:pt>
                <c:pt idx="1">
                  <c:v>FY 2013</c:v>
                </c:pt>
                <c:pt idx="2">
                  <c:v>FY 2014</c:v>
                </c:pt>
                <c:pt idx="3">
                  <c:v>FY 2015</c:v>
                </c:pt>
                <c:pt idx="4">
                  <c:v>FY 2016</c:v>
                </c:pt>
              </c:strCache>
            </c:strRef>
          </c:cat>
          <c:val>
            <c:numRef>
              <c:f>'Pivot 1'!$B$5:$B$10</c:f>
              <c:numCache>
                <c:formatCode>"$"#,##0</c:formatCode>
                <c:ptCount val="5"/>
                <c:pt idx="0">
                  <c:v>2126250</c:v>
                </c:pt>
                <c:pt idx="1">
                  <c:v>2126250</c:v>
                </c:pt>
                <c:pt idx="2">
                  <c:v>2192164</c:v>
                </c:pt>
                <c:pt idx="3">
                  <c:v>2233413</c:v>
                </c:pt>
                <c:pt idx="4">
                  <c:v>2269134</c:v>
                </c:pt>
              </c:numCache>
            </c:numRef>
          </c:val>
          <c:extLst>
            <c:ext xmlns:c16="http://schemas.microsoft.com/office/drawing/2014/chart" uri="{C3380CC4-5D6E-409C-BE32-E72D297353CC}">
              <c16:uniqueId val="{00000000-2E8D-49D7-BD34-1E7C316868AC}"/>
            </c:ext>
          </c:extLst>
        </c:ser>
        <c:ser>
          <c:idx val="1"/>
          <c:order val="1"/>
          <c:tx>
            <c:strRef>
              <c:f>'Pivot 1'!$C$3:$C$4</c:f>
              <c:strCache>
                <c:ptCount val="1"/>
                <c:pt idx="0">
                  <c:v>WAP (US DOE)</c:v>
                </c:pt>
              </c:strCache>
            </c:strRef>
          </c:tx>
          <c:invertIfNegative val="0"/>
          <c:cat>
            <c:strRef>
              <c:f>'Pivot 1'!$A$5:$A$10</c:f>
              <c:strCache>
                <c:ptCount val="5"/>
                <c:pt idx="0">
                  <c:v>FY 2012</c:v>
                </c:pt>
                <c:pt idx="1">
                  <c:v>FY 2013</c:v>
                </c:pt>
                <c:pt idx="2">
                  <c:v>FY 2014</c:v>
                </c:pt>
                <c:pt idx="3">
                  <c:v>FY 2015</c:v>
                </c:pt>
                <c:pt idx="4">
                  <c:v>FY 2016</c:v>
                </c:pt>
              </c:strCache>
            </c:strRef>
          </c:cat>
          <c:val>
            <c:numRef>
              <c:f>'Pivot 1'!$C$5:$C$10</c:f>
              <c:numCache>
                <c:formatCode>"$"#,##0</c:formatCode>
                <c:ptCount val="5"/>
                <c:pt idx="0">
                  <c:v>3191250</c:v>
                </c:pt>
                <c:pt idx="1">
                  <c:v>2109133</c:v>
                </c:pt>
                <c:pt idx="2">
                  <c:v>3561399</c:v>
                </c:pt>
                <c:pt idx="3">
                  <c:v>3885453</c:v>
                </c:pt>
                <c:pt idx="4">
                  <c:v>4325258</c:v>
                </c:pt>
              </c:numCache>
            </c:numRef>
          </c:val>
          <c:extLst>
            <c:ext xmlns:c16="http://schemas.microsoft.com/office/drawing/2014/chart" uri="{C3380CC4-5D6E-409C-BE32-E72D297353CC}">
              <c16:uniqueId val="{00000001-2E8D-49D7-BD34-1E7C316868AC}"/>
            </c:ext>
          </c:extLst>
        </c:ser>
        <c:ser>
          <c:idx val="2"/>
          <c:order val="2"/>
          <c:tx>
            <c:strRef>
              <c:f>'Pivot 1'!$D$3:$D$4</c:f>
              <c:strCache>
                <c:ptCount val="1"/>
                <c:pt idx="0">
                  <c:v>LIHEAP (US DHHS)</c:v>
                </c:pt>
              </c:strCache>
            </c:strRef>
          </c:tx>
          <c:invertIfNegative val="0"/>
          <c:cat>
            <c:strRef>
              <c:f>'Pivot 1'!$A$5:$A$10</c:f>
              <c:strCache>
                <c:ptCount val="5"/>
                <c:pt idx="0">
                  <c:v>FY 2012</c:v>
                </c:pt>
                <c:pt idx="1">
                  <c:v>FY 2013</c:v>
                </c:pt>
                <c:pt idx="2">
                  <c:v>FY 2014</c:v>
                </c:pt>
                <c:pt idx="3">
                  <c:v>FY 2015</c:v>
                </c:pt>
                <c:pt idx="4">
                  <c:v>FY 2016</c:v>
                </c:pt>
              </c:strCache>
            </c:strRef>
          </c:cat>
          <c:val>
            <c:numRef>
              <c:f>'Pivot 1'!$D$5:$D$10</c:f>
              <c:numCache>
                <c:formatCode>"$"#,##0</c:formatCode>
                <c:ptCount val="5"/>
                <c:pt idx="0">
                  <c:v>9661382</c:v>
                </c:pt>
                <c:pt idx="1">
                  <c:v>9066870</c:v>
                </c:pt>
                <c:pt idx="2">
                  <c:v>9534354</c:v>
                </c:pt>
                <c:pt idx="3">
                  <c:v>9387305</c:v>
                </c:pt>
                <c:pt idx="4">
                  <c:v>9414252</c:v>
                </c:pt>
              </c:numCache>
            </c:numRef>
          </c:val>
          <c:extLst>
            <c:ext xmlns:c16="http://schemas.microsoft.com/office/drawing/2014/chart" uri="{C3380CC4-5D6E-409C-BE32-E72D297353CC}">
              <c16:uniqueId val="{00000002-2E8D-49D7-BD34-1E7C316868AC}"/>
            </c:ext>
          </c:extLst>
        </c:ser>
        <c:ser>
          <c:idx val="3"/>
          <c:order val="3"/>
          <c:tx>
            <c:strRef>
              <c:f>'Pivot 1'!$E$3:$E$4</c:f>
              <c:strCache>
                <c:ptCount val="1"/>
                <c:pt idx="0">
                  <c:v>Matchmakers (State)</c:v>
                </c:pt>
              </c:strCache>
            </c:strRef>
          </c:tx>
          <c:invertIfNegative val="0"/>
          <c:cat>
            <c:strRef>
              <c:f>'Pivot 1'!$A$5:$A$10</c:f>
              <c:strCache>
                <c:ptCount val="5"/>
                <c:pt idx="0">
                  <c:v>FY 2012</c:v>
                </c:pt>
                <c:pt idx="1">
                  <c:v>FY 2013</c:v>
                </c:pt>
                <c:pt idx="2">
                  <c:v>FY 2014</c:v>
                </c:pt>
                <c:pt idx="3">
                  <c:v>FY 2015</c:v>
                </c:pt>
                <c:pt idx="4">
                  <c:v>FY 2016</c:v>
                </c:pt>
              </c:strCache>
            </c:strRef>
          </c:cat>
          <c:val>
            <c:numRef>
              <c:f>'Pivot 1'!$E$5:$E$10</c:f>
              <c:numCache>
                <c:formatCode>"$"#,##0</c:formatCode>
                <c:ptCount val="5"/>
                <c:pt idx="0">
                  <c:v>6000000</c:v>
                </c:pt>
                <c:pt idx="1">
                  <c:v>10000000</c:v>
                </c:pt>
                <c:pt idx="2">
                  <c:v>5000000</c:v>
                </c:pt>
                <c:pt idx="3">
                  <c:v>5000000</c:v>
                </c:pt>
                <c:pt idx="4">
                  <c:v>6010566</c:v>
                </c:pt>
              </c:numCache>
            </c:numRef>
          </c:val>
          <c:extLst>
            <c:ext xmlns:c16="http://schemas.microsoft.com/office/drawing/2014/chart" uri="{C3380CC4-5D6E-409C-BE32-E72D297353CC}">
              <c16:uniqueId val="{00000003-2E8D-49D7-BD34-1E7C316868AC}"/>
            </c:ext>
          </c:extLst>
        </c:ser>
        <c:dLbls>
          <c:showLegendKey val="0"/>
          <c:showVal val="0"/>
          <c:showCatName val="0"/>
          <c:showSerName val="0"/>
          <c:showPercent val="0"/>
          <c:showBubbleSize val="0"/>
        </c:dLbls>
        <c:gapWidth val="150"/>
        <c:shape val="cylinder"/>
        <c:axId val="60932864"/>
        <c:axId val="60934400"/>
        <c:axId val="0"/>
      </c:bar3DChart>
      <c:catAx>
        <c:axId val="60932864"/>
        <c:scaling>
          <c:orientation val="minMax"/>
        </c:scaling>
        <c:delete val="0"/>
        <c:axPos val="b"/>
        <c:numFmt formatCode="General" sourceLinked="0"/>
        <c:majorTickMark val="out"/>
        <c:minorTickMark val="none"/>
        <c:tickLblPos val="nextTo"/>
        <c:crossAx val="60934400"/>
        <c:crosses val="autoZero"/>
        <c:auto val="1"/>
        <c:lblAlgn val="ctr"/>
        <c:lblOffset val="100"/>
        <c:noMultiLvlLbl val="0"/>
      </c:catAx>
      <c:valAx>
        <c:axId val="60934400"/>
        <c:scaling>
          <c:orientation val="minMax"/>
        </c:scaling>
        <c:delete val="0"/>
        <c:axPos val="l"/>
        <c:majorGridlines/>
        <c:title>
          <c:tx>
            <c:rich>
              <a:bodyPr rot="-5400000" vert="horz"/>
              <a:lstStyle/>
              <a:p>
                <a:pPr>
                  <a:defRPr/>
                </a:pPr>
                <a:r>
                  <a:rPr lang="en-US"/>
                  <a:t>Funding in Millions $</a:t>
                </a:r>
              </a:p>
            </c:rich>
          </c:tx>
          <c:layout/>
          <c:overlay val="0"/>
        </c:title>
        <c:numFmt formatCode="&quot;$&quot;#,##0" sourceLinked="1"/>
        <c:majorTickMark val="out"/>
        <c:minorTickMark val="none"/>
        <c:tickLblPos val="nextTo"/>
        <c:crossAx val="60932864"/>
        <c:crosses val="autoZero"/>
        <c:crossBetween val="between"/>
      </c:valAx>
    </c:plotArea>
    <c:legend>
      <c:legendPos val="r"/>
      <c:layout/>
      <c:overlay val="0"/>
    </c:legend>
    <c:plotVisOnly val="1"/>
    <c:dispBlanksAs val="gap"/>
    <c:showDLblsOverMax val="0"/>
  </c:chart>
  <c:externalData r:id="rId2">
    <c:autoUpdate val="0"/>
  </c:externalData>
  <c:userShapes r:id="rId3"/>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217920" cy="349821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8607-73F6-4F72-B75F-B8D207F1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3194</Words>
  <Characters>18792</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State of Washington</vt:lpstr>
    </vt:vector>
  </TitlesOfParts>
  <Company>CTED Washington State</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Washington</dc:title>
  <dc:creator>CTED</dc:creator>
  <cp:lastModifiedBy>Bernthal, Tim (COM)</cp:lastModifiedBy>
  <cp:revision>2</cp:revision>
  <cp:lastPrinted>2017-04-24T15:48:00Z</cp:lastPrinted>
  <dcterms:created xsi:type="dcterms:W3CDTF">2017-04-26T21:29:00Z</dcterms:created>
  <dcterms:modified xsi:type="dcterms:W3CDTF">2017-04-26T21:29:00Z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2|0160-C1A3-5C7B-79CF--0||">
    <vt:lpwstr>LINKTEK-ID-FILE--0</vt:lpwstr>
  </property>
  <property fmtid="{D5CDD505-2E9C-101B-9397-08002B2CF9AE}" pid="3" name="LINKTEK--2|0104-F970-95C5-7602--3|file:///\\ctedfsoly02\gregn$\Excel\LowIncome\ElecNatGas_LowIncome2013.xlsx|">
    <vt:lpwstr>LINKTEK-ID-LINK--3</vt:lpwstr>
  </property>
</Properties>
</file>