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909" w:rsidRPr="00953A07" w:rsidRDefault="00B41909" w:rsidP="00592208">
      <w:pPr>
        <w:pStyle w:val="Heading2"/>
        <w:spacing w:after="160"/>
        <w:rPr>
          <w:b/>
          <w:color w:val="auto"/>
          <w:sz w:val="28"/>
          <w:szCs w:val="28"/>
        </w:rPr>
      </w:pPr>
      <w:r w:rsidRPr="00953A07">
        <w:rPr>
          <w:b/>
          <w:color w:val="auto"/>
          <w:sz w:val="28"/>
          <w:szCs w:val="28"/>
        </w:rPr>
        <w:t xml:space="preserve">Overview of </w:t>
      </w:r>
      <w:r w:rsidR="002A11EB">
        <w:rPr>
          <w:b/>
          <w:color w:val="auto"/>
          <w:sz w:val="28"/>
          <w:szCs w:val="28"/>
        </w:rPr>
        <w:t>Research</w:t>
      </w:r>
      <w:r w:rsidRPr="00953A07">
        <w:rPr>
          <w:b/>
          <w:color w:val="auto"/>
          <w:sz w:val="28"/>
          <w:szCs w:val="28"/>
        </w:rPr>
        <w:t xml:space="preserve"> to Improve the Washington State Fuel Mix Disclosure Net System Mix</w:t>
      </w:r>
    </w:p>
    <w:p w:rsidR="00122678" w:rsidRDefault="00B41909" w:rsidP="00B41909">
      <w:r>
        <w:t xml:space="preserve">Part of the </w:t>
      </w:r>
      <w:r w:rsidRPr="00B41909">
        <w:t>Fuel Mix Disclosure</w:t>
      </w:r>
      <w:r>
        <w:t xml:space="preserve"> (FMD) process is to calculate the</w:t>
      </w:r>
      <w:r w:rsidRPr="00B41909">
        <w:t xml:space="preserve"> Net System Mix</w:t>
      </w:r>
      <w:r w:rsidR="00442796" w:rsidRPr="00B41909">
        <w:tab/>
      </w:r>
      <w:r>
        <w:t xml:space="preserve">(NSM). The NSM is treated as </w:t>
      </w:r>
      <w:r w:rsidR="00122678">
        <w:t xml:space="preserve">the </w:t>
      </w:r>
      <w:r>
        <w:t>fuel mix for the market power</w:t>
      </w:r>
      <w:r w:rsidR="0037165A">
        <w:t xml:space="preserve">, </w:t>
      </w:r>
      <w:r>
        <w:t>also referred to as unspecified power</w:t>
      </w:r>
      <w:r w:rsidR="0037165A">
        <w:t>,</w:t>
      </w:r>
      <w:r>
        <w:t xml:space="preserve"> that utilities</w:t>
      </w:r>
      <w:r w:rsidR="00122678">
        <w:t xml:space="preserve"> often procure to supplement electric power from owned or contracted </w:t>
      </w:r>
      <w:r w:rsidR="000B32E1">
        <w:t xml:space="preserve">electric </w:t>
      </w:r>
      <w:r w:rsidR="00122678">
        <w:t>generating resources</w:t>
      </w:r>
      <w:r>
        <w:t>.</w:t>
      </w:r>
      <w:r w:rsidR="00122678">
        <w:t xml:space="preserve"> </w:t>
      </w:r>
    </w:p>
    <w:p w:rsidR="00442346" w:rsidRDefault="00122678" w:rsidP="00B41909">
      <w:r w:rsidRPr="009810A8">
        <w:t xml:space="preserve">FMD </w:t>
      </w:r>
      <w:r w:rsidR="0065294D">
        <w:t>is focused on</w:t>
      </w:r>
      <w:r w:rsidRPr="009810A8">
        <w:t xml:space="preserve"> electric power generation in the Northwest Power Pool</w:t>
      </w:r>
      <w:r>
        <w:t xml:space="preserve"> (NWPP), which includes </w:t>
      </w:r>
      <w:r w:rsidRPr="009810A8">
        <w:t xml:space="preserve">Washington, Oregon, Idaho, Utah, most of Montana, Wyoming, Nevada and </w:t>
      </w:r>
      <w:r>
        <w:t xml:space="preserve">a small </w:t>
      </w:r>
      <w:r w:rsidRPr="009810A8">
        <w:t>part of northern California</w:t>
      </w:r>
      <w:r w:rsidR="0037165A">
        <w:t>. S</w:t>
      </w:r>
      <w:r w:rsidR="00EE6058">
        <w:t xml:space="preserve">ee </w:t>
      </w:r>
      <w:r w:rsidR="0037165A">
        <w:t xml:space="preserve">the </w:t>
      </w:r>
      <w:r w:rsidR="00EE6058">
        <w:t>map at end of document</w:t>
      </w:r>
      <w:r w:rsidR="0037165A">
        <w:t>,</w:t>
      </w:r>
      <w:r w:rsidR="00EE6058">
        <w:t xml:space="preserve"> which shows the boundary of the NWPP</w:t>
      </w:r>
      <w:r>
        <w:t xml:space="preserve">. The NSM calculation begins with </w:t>
      </w:r>
      <w:r w:rsidR="0065294D">
        <w:t>total electric power generation in the NWPP from which total known</w:t>
      </w:r>
      <w:r w:rsidR="00FB1031">
        <w:t>, or specified,</w:t>
      </w:r>
      <w:r w:rsidR="0065294D">
        <w:t xml:space="preserve"> utility claims </w:t>
      </w:r>
      <w:proofErr w:type="gramStart"/>
      <w:r w:rsidR="0065294D">
        <w:t>are subtracted</w:t>
      </w:r>
      <w:proofErr w:type="gramEnd"/>
      <w:r w:rsidR="0037165A">
        <w:t>,</w:t>
      </w:r>
      <w:r w:rsidR="0065294D">
        <w:t xml:space="preserve"> as shown in the simple formula below. </w:t>
      </w:r>
    </w:p>
    <w:p w:rsidR="0065294D" w:rsidRDefault="0065294D" w:rsidP="0065294D">
      <w:pPr>
        <w:ind w:left="1440" w:firstLine="720"/>
        <w:rPr>
          <w:b/>
          <w:bCs/>
        </w:rPr>
      </w:pPr>
      <w:r w:rsidRPr="0065294D">
        <w:rPr>
          <w:b/>
          <w:bCs/>
        </w:rPr>
        <w:t xml:space="preserve">Net System Mix = </w:t>
      </w:r>
      <w:r>
        <w:rPr>
          <w:b/>
          <w:bCs/>
        </w:rPr>
        <w:t xml:space="preserve">NWPP </w:t>
      </w:r>
      <w:r w:rsidRPr="0065294D">
        <w:rPr>
          <w:b/>
          <w:bCs/>
        </w:rPr>
        <w:t xml:space="preserve">Power Generation – </w:t>
      </w:r>
      <w:r w:rsidR="00FB1031">
        <w:rPr>
          <w:b/>
          <w:bCs/>
        </w:rPr>
        <w:t>Specified</w:t>
      </w:r>
      <w:r>
        <w:rPr>
          <w:b/>
          <w:bCs/>
        </w:rPr>
        <w:t xml:space="preserve"> </w:t>
      </w:r>
      <w:r w:rsidRPr="0065294D">
        <w:rPr>
          <w:b/>
          <w:bCs/>
        </w:rPr>
        <w:t xml:space="preserve">Power Claims </w:t>
      </w:r>
    </w:p>
    <w:p w:rsidR="009B16F9" w:rsidRDefault="009B16F9" w:rsidP="0065294D">
      <w:r>
        <w:t>Currently, FMD</w:t>
      </w:r>
      <w:r w:rsidR="0065294D">
        <w:t xml:space="preserve"> only </w:t>
      </w:r>
      <w:r>
        <w:t>has access to</w:t>
      </w:r>
      <w:r w:rsidR="0065294D">
        <w:t xml:space="preserve"> </w:t>
      </w:r>
      <w:r>
        <w:t xml:space="preserve">specified </w:t>
      </w:r>
      <w:r w:rsidR="0065294D">
        <w:t xml:space="preserve">power claims </w:t>
      </w:r>
      <w:r>
        <w:t>from the states of Washington and Oregon. This means that utility specified power claims</w:t>
      </w:r>
      <w:r w:rsidR="0037165A">
        <w:t xml:space="preserve">, </w:t>
      </w:r>
      <w:r w:rsidR="000B32E1">
        <w:t>owned or contracted resources</w:t>
      </w:r>
      <w:r w:rsidR="0037165A">
        <w:t>,</w:t>
      </w:r>
      <w:r>
        <w:t xml:space="preserve"> in</w:t>
      </w:r>
      <w:r w:rsidR="000B32E1">
        <w:t xml:space="preserve"> the rest of the NWPP </w:t>
      </w:r>
      <w:proofErr w:type="gramStart"/>
      <w:r w:rsidR="000B32E1">
        <w:t xml:space="preserve">are </w:t>
      </w:r>
      <w:r>
        <w:t>excluded</w:t>
      </w:r>
      <w:proofErr w:type="gramEnd"/>
      <w:r>
        <w:t xml:space="preserve">, which increases the size and alters the composition of the NSM. </w:t>
      </w:r>
      <w:r w:rsidR="002A11EB">
        <w:t xml:space="preserve">Note that the final step of the current NSM calculation is to “zero out” wind, geothermal and solar. The reason behind this step is that these renewables </w:t>
      </w:r>
      <w:proofErr w:type="gramStart"/>
      <w:r w:rsidR="002A11EB">
        <w:t>are used</w:t>
      </w:r>
      <w:proofErr w:type="gramEnd"/>
      <w:r w:rsidR="002A11EB">
        <w:t xml:space="preserve"> to meet Renewable Portfolio Standards and are therefore claimed by utilities in the NWPP or California. The wind, geothermal and solar generation values </w:t>
      </w:r>
      <w:proofErr w:type="gramStart"/>
      <w:r w:rsidR="002A11EB">
        <w:t>are left</w:t>
      </w:r>
      <w:proofErr w:type="gramEnd"/>
      <w:r w:rsidR="002A11EB">
        <w:t xml:space="preserve"> in for illustrative purposed in this paper. </w:t>
      </w:r>
      <w:r w:rsidR="00F8540C">
        <w:t xml:space="preserve">The </w:t>
      </w:r>
      <w:r w:rsidR="000B32E1">
        <w:t>unadjusted</w:t>
      </w:r>
      <w:r w:rsidR="000B32E1">
        <w:rPr>
          <w:rStyle w:val="FootnoteReference"/>
        </w:rPr>
        <w:footnoteReference w:id="1"/>
      </w:r>
      <w:r w:rsidR="000B32E1">
        <w:t xml:space="preserve"> </w:t>
      </w:r>
      <w:r w:rsidR="00F8540C">
        <w:t>NSM for 2014</w:t>
      </w:r>
      <w:r w:rsidR="0037165A">
        <w:t>,</w:t>
      </w:r>
      <w:r w:rsidR="00F8540C">
        <w:t xml:space="preserve"> as currently calculated</w:t>
      </w:r>
      <w:r w:rsidR="0037165A">
        <w:t>,</w:t>
      </w:r>
      <w:r w:rsidR="00F8540C">
        <w:t xml:space="preserve"> </w:t>
      </w:r>
      <w:proofErr w:type="gramStart"/>
      <w:r w:rsidR="00F8540C">
        <w:t>is shown</w:t>
      </w:r>
      <w:proofErr w:type="gramEnd"/>
      <w:r w:rsidR="00F8540C">
        <w:t xml:space="preserve"> below:</w:t>
      </w:r>
    </w:p>
    <w:p w:rsidR="00F8540C" w:rsidRDefault="00F8540C" w:rsidP="00F8540C">
      <w:pPr>
        <w:ind w:left="2340"/>
      </w:pPr>
      <w:r w:rsidRPr="00F8540C">
        <w:rPr>
          <w:noProof/>
        </w:rPr>
        <w:drawing>
          <wp:inline distT="0" distB="0" distL="0" distR="0">
            <wp:extent cx="3165475" cy="320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789" cy="320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40C" w:rsidRDefault="000B32E1" w:rsidP="0065294D">
      <w:r>
        <w:tab/>
      </w:r>
      <w:r>
        <w:tab/>
      </w:r>
      <w:r>
        <w:tab/>
      </w:r>
    </w:p>
    <w:p w:rsidR="0065294D" w:rsidRDefault="009B16F9" w:rsidP="00930512">
      <w:proofErr w:type="gramStart"/>
      <w:r>
        <w:t>To better understand</w:t>
      </w:r>
      <w:proofErr w:type="gramEnd"/>
      <w:r>
        <w:t xml:space="preserve"> the NSM</w:t>
      </w:r>
      <w:r w:rsidR="00667B14">
        <w:t>,</w:t>
      </w:r>
      <w:r>
        <w:t xml:space="preserve"> Commerce has </w:t>
      </w:r>
      <w:r w:rsidR="002A11EB">
        <w:t>undertaken research</w:t>
      </w:r>
      <w:r>
        <w:t xml:space="preserve"> to account for the remaining specified power claims in the </w:t>
      </w:r>
      <w:r w:rsidR="00667B14">
        <w:t>other</w:t>
      </w:r>
      <w:r>
        <w:t xml:space="preserve"> </w:t>
      </w:r>
      <w:r w:rsidR="00667B14">
        <w:t>non-Oregon</w:t>
      </w:r>
      <w:r w:rsidR="00ED014F">
        <w:t xml:space="preserve"> and </w:t>
      </w:r>
      <w:r w:rsidR="00667B14">
        <w:t>non-</w:t>
      </w:r>
      <w:r w:rsidR="00ED014F">
        <w:t>W</w:t>
      </w:r>
      <w:r w:rsidR="00667B14">
        <w:t>ashington</w:t>
      </w:r>
      <w:r w:rsidR="00ED014F">
        <w:t xml:space="preserve"> parts </w:t>
      </w:r>
      <w:r>
        <w:t xml:space="preserve">of the NWPP using several data sources that are available. </w:t>
      </w:r>
      <w:r w:rsidR="00930512">
        <w:t>To be clear</w:t>
      </w:r>
      <w:r w:rsidR="00667B14">
        <w:t>,</w:t>
      </w:r>
      <w:r w:rsidR="00930512">
        <w:t xml:space="preserve"> this accounting attempts to incorporate </w:t>
      </w:r>
      <w:r w:rsidR="00ED014F">
        <w:t xml:space="preserve">specified utility claims on NWPP electric power generation resources from </w:t>
      </w:r>
      <w:r w:rsidR="00930512">
        <w:t>ID, MT, UT, NV</w:t>
      </w:r>
      <w:r w:rsidR="00ED014F">
        <w:t>, WY and CA</w:t>
      </w:r>
      <w:r w:rsidR="002A11EB">
        <w:t xml:space="preserve"> utilities</w:t>
      </w:r>
      <w:r w:rsidR="00930512">
        <w:t>. Th</w:t>
      </w:r>
      <w:r w:rsidR="00667B14">
        <w:t>e</w:t>
      </w:r>
      <w:r w:rsidR="00930512">
        <w:t xml:space="preserve"> accounting takes place in two steps</w:t>
      </w:r>
      <w:r w:rsidR="00667B14">
        <w:t>,</w:t>
      </w:r>
      <w:r w:rsidR="00930512">
        <w:t xml:space="preserve"> referred to</w:t>
      </w:r>
      <w:r w:rsidR="00ED014F">
        <w:t xml:space="preserve"> </w:t>
      </w:r>
      <w:r w:rsidR="00F8540C">
        <w:t xml:space="preserve">as </w:t>
      </w:r>
      <w:r w:rsidR="00ED014F">
        <w:t>the</w:t>
      </w:r>
      <w:r w:rsidR="00930512">
        <w:t xml:space="preserve"> stage 1 adjustment and </w:t>
      </w:r>
      <w:r w:rsidR="00ED014F">
        <w:t xml:space="preserve">the </w:t>
      </w:r>
      <w:r w:rsidR="00930512">
        <w:t xml:space="preserve">stage 2 adjustment. </w:t>
      </w:r>
      <w:r w:rsidR="00EB5657">
        <w:t xml:space="preserve">Stage 3 will show the resulting mix when the current policy of zeroing our renewable energy is applied following the stage </w:t>
      </w:r>
      <w:proofErr w:type="gramStart"/>
      <w:r w:rsidR="00EB5657">
        <w:t>1</w:t>
      </w:r>
      <w:proofErr w:type="gramEnd"/>
      <w:r w:rsidR="00EB5657">
        <w:t xml:space="preserve"> and 2 adjustments. </w:t>
      </w:r>
      <w:r w:rsidR="00667B14">
        <w:t>Stage 1</w:t>
      </w:r>
      <w:r w:rsidR="00930512">
        <w:t xml:space="preserve"> relies on solid utility repo</w:t>
      </w:r>
      <w:r w:rsidR="0037165A">
        <w:t>rted power claim data, while</w:t>
      </w:r>
      <w:r w:rsidR="00930512">
        <w:t xml:space="preserve"> </w:t>
      </w:r>
      <w:r w:rsidR="00667B14">
        <w:t>stage 2</w:t>
      </w:r>
      <w:r w:rsidR="00930512">
        <w:t xml:space="preserve"> relies on data from l</w:t>
      </w:r>
      <w:r w:rsidR="00667B14">
        <w:t>ess precise utility IRP reports</w:t>
      </w:r>
      <w:r w:rsidR="00930512">
        <w:t xml:space="preserve"> and website information. Additional information on the two adjustments is below:</w:t>
      </w:r>
    </w:p>
    <w:p w:rsidR="00ED014F" w:rsidRDefault="005B77AE" w:rsidP="00930512">
      <w:r>
        <w:lastRenderedPageBreak/>
        <w:t>The s</w:t>
      </w:r>
      <w:r w:rsidR="00ED014F">
        <w:t>tage 1 adjustment incorporates PacifiCorp</w:t>
      </w:r>
      <w:r w:rsidR="00667B14">
        <w:t xml:space="preserve"> and</w:t>
      </w:r>
      <w:r w:rsidR="00ED014F">
        <w:t xml:space="preserve"> </w:t>
      </w:r>
      <w:proofErr w:type="spellStart"/>
      <w:r w:rsidR="00ED014F">
        <w:t>Avista</w:t>
      </w:r>
      <w:proofErr w:type="spellEnd"/>
      <w:r w:rsidR="00ED014F">
        <w:t xml:space="preserve"> </w:t>
      </w:r>
      <w:r w:rsidR="006E57F7">
        <w:t>specified</w:t>
      </w:r>
      <w:r w:rsidR="00ED014F">
        <w:t xml:space="preserve"> claims </w:t>
      </w:r>
      <w:r w:rsidR="006E57F7">
        <w:t>on generating resources. It also incorporates claims associated with BPA supplied utilities in ID, MT</w:t>
      </w:r>
      <w:r w:rsidR="00667B14">
        <w:t>,</w:t>
      </w:r>
      <w:r w:rsidR="006E57F7">
        <w:t xml:space="preserve"> NV and the Canadian Entitlement power that BPA delivers to British Columbia. </w:t>
      </w:r>
      <w:r w:rsidR="00F8540C">
        <w:t>The NSM for 2014</w:t>
      </w:r>
      <w:r w:rsidR="0037165A">
        <w:t>,</w:t>
      </w:r>
      <w:r w:rsidR="00F8540C">
        <w:t xml:space="preserve"> after applying the Stage 1 adjustment</w:t>
      </w:r>
      <w:r w:rsidR="0037165A">
        <w:t>,</w:t>
      </w:r>
      <w:r w:rsidR="00F8540C">
        <w:t xml:space="preserve"> </w:t>
      </w:r>
      <w:proofErr w:type="gramStart"/>
      <w:r w:rsidR="00F8540C">
        <w:t>is shown</w:t>
      </w:r>
      <w:proofErr w:type="gramEnd"/>
      <w:r w:rsidR="00F8540C">
        <w:t xml:space="preserve"> below:</w:t>
      </w:r>
    </w:p>
    <w:p w:rsidR="00F8540C" w:rsidRDefault="00F8540C" w:rsidP="00F8540C">
      <w:pPr>
        <w:ind w:left="2340"/>
      </w:pPr>
      <w:r w:rsidRPr="00F8540C">
        <w:rPr>
          <w:noProof/>
        </w:rPr>
        <w:drawing>
          <wp:inline distT="0" distB="0" distL="0" distR="0">
            <wp:extent cx="3348355" cy="354520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354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512" w:rsidRPr="0065294D" w:rsidRDefault="005B77AE" w:rsidP="00930512">
      <w:r>
        <w:t>The s</w:t>
      </w:r>
      <w:r w:rsidR="00ED014F">
        <w:t>tage 2 adjustment</w:t>
      </w:r>
      <w:r w:rsidR="006E57F7">
        <w:t xml:space="preserve"> is an attempt to incorporate specified claims by Idaho Power, Northwestern Energy, </w:t>
      </w:r>
      <w:proofErr w:type="gramStart"/>
      <w:r w:rsidR="006E57F7">
        <w:t>Nevada</w:t>
      </w:r>
      <w:proofErr w:type="gramEnd"/>
      <w:r w:rsidR="006E57F7">
        <w:t xml:space="preserve"> Power (North) and several small utilities</w:t>
      </w:r>
      <w:r w:rsidR="00667B14">
        <w:t xml:space="preserve"> in ID, MT, NV,</w:t>
      </w:r>
      <w:r w:rsidR="00F8540C">
        <w:t xml:space="preserve"> UT and WY</w:t>
      </w:r>
      <w:r w:rsidR="006E57F7">
        <w:t xml:space="preserve">. </w:t>
      </w:r>
      <w:r>
        <w:t>As noted above</w:t>
      </w:r>
      <w:r w:rsidR="00667B14">
        <w:t>,</w:t>
      </w:r>
      <w:r>
        <w:t xml:space="preserve"> these adjustments are less </w:t>
      </w:r>
      <w:r w:rsidR="00E44DED">
        <w:t>reliable</w:t>
      </w:r>
      <w:r>
        <w:t xml:space="preserve"> th</w:t>
      </w:r>
      <w:r w:rsidR="00667B14">
        <w:t xml:space="preserve">an the stage 1 adjustment. </w:t>
      </w:r>
      <w:r w:rsidR="0037165A">
        <w:t>T</w:t>
      </w:r>
      <w:r w:rsidR="00667B14">
        <w:t xml:space="preserve">he </w:t>
      </w:r>
      <w:r>
        <w:t xml:space="preserve">first table above is slightly different </w:t>
      </w:r>
      <w:r w:rsidR="0037165A">
        <w:t>from</w:t>
      </w:r>
      <w:r>
        <w:t xml:space="preserve"> the table shown in the Jan. </w:t>
      </w:r>
      <w:r w:rsidR="0037165A">
        <w:t>30</w:t>
      </w:r>
      <w:r>
        <w:t xml:space="preserve"> PowerPoint pres</w:t>
      </w:r>
      <w:r w:rsidR="00E44DED">
        <w:t>entation</w:t>
      </w:r>
      <w:r w:rsidR="00667B14">
        <w:t>,</w:t>
      </w:r>
      <w:r w:rsidR="00E44DED">
        <w:t xml:space="preserve"> as formula for solar and </w:t>
      </w:r>
      <w:r>
        <w:t xml:space="preserve">geothermal </w:t>
      </w:r>
      <w:r w:rsidR="00E44DED">
        <w:t>were not complete.</w:t>
      </w:r>
    </w:p>
    <w:p w:rsidR="009849D4" w:rsidRDefault="00F8540C" w:rsidP="00E44DED">
      <w:pPr>
        <w:ind w:left="2340"/>
      </w:pPr>
      <w:r w:rsidRPr="00F8540C">
        <w:rPr>
          <w:noProof/>
        </w:rPr>
        <w:drawing>
          <wp:inline distT="0" distB="0" distL="0" distR="0">
            <wp:extent cx="3397347" cy="34115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921" cy="34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DED" w:rsidRDefault="00E44DED" w:rsidP="00E44DED">
      <w:r>
        <w:t>This preliminary work on improving the NSM illustrates that</w:t>
      </w:r>
      <w:r w:rsidR="0037165A">
        <w:t>,</w:t>
      </w:r>
      <w:r>
        <w:t xml:space="preserve"> by accounting for</w:t>
      </w:r>
      <w:r w:rsidR="00FB1031">
        <w:t xml:space="preserve"> specified</w:t>
      </w:r>
      <w:r>
        <w:t xml:space="preserve"> utility power claims in other states in the NWPP, fuel shares in the NSM (market power) change significantly. The coal share of the NSM in particular </w:t>
      </w:r>
      <w:r>
        <w:lastRenderedPageBreak/>
        <w:t xml:space="preserve">declines markedly. </w:t>
      </w:r>
      <w:proofErr w:type="gramStart"/>
      <w:r>
        <w:t>There are likely other steps that</w:t>
      </w:r>
      <w:proofErr w:type="gramEnd"/>
      <w:r>
        <w:t xml:space="preserve"> could be taken to improve the </w:t>
      </w:r>
      <w:r w:rsidR="00FB1031">
        <w:t xml:space="preserve">FMD </w:t>
      </w:r>
      <w:r>
        <w:t>NSM accounting</w:t>
      </w:r>
      <w:r w:rsidR="00667B14">
        <w:t>,</w:t>
      </w:r>
      <w:r>
        <w:t xml:space="preserve"> including a more thorough </w:t>
      </w:r>
      <w:r w:rsidR="00EE6058">
        <w:t>tracking</w:t>
      </w:r>
      <w:r>
        <w:t xml:space="preserve"> of </w:t>
      </w:r>
      <w:r w:rsidR="00592208">
        <w:t xml:space="preserve">NWPP </w:t>
      </w:r>
      <w:r>
        <w:t xml:space="preserve">contracted power </w:t>
      </w:r>
      <w:r w:rsidR="00592208">
        <w:t>imports and exports</w:t>
      </w:r>
      <w:r>
        <w:t xml:space="preserve">. Accounting for </w:t>
      </w:r>
      <w:r w:rsidR="00592208">
        <w:t>contracted</w:t>
      </w:r>
      <w:r w:rsidR="00FB1031">
        <w:t xml:space="preserve"> power</w:t>
      </w:r>
      <w:r w:rsidR="00592208">
        <w:t xml:space="preserve"> imports and exports w</w:t>
      </w:r>
      <w:r w:rsidR="00667B14">
        <w:t>ould likely decrease hydropower</w:t>
      </w:r>
      <w:r w:rsidR="00592208">
        <w:t xml:space="preserve"> and increase natural gas and solar sourced power in the table above.</w:t>
      </w:r>
      <w:r w:rsidR="00EB5657">
        <w:t xml:space="preserve"> </w:t>
      </w:r>
    </w:p>
    <w:p w:rsidR="00EB5657" w:rsidRDefault="007E31C1" w:rsidP="00E44DED">
      <w:r>
        <w:t>The s</w:t>
      </w:r>
      <w:r w:rsidR="00EB5657">
        <w:t>tage 3 NSM results, which reflects the current FMD policy of zeroing out renewables, are in the table below.</w:t>
      </w:r>
    </w:p>
    <w:p w:rsidR="00EB5657" w:rsidRDefault="007E31C1" w:rsidP="007E31C1">
      <w:pPr>
        <w:ind w:left="2340"/>
      </w:pPr>
      <w:r w:rsidRPr="007E31C1">
        <w:rPr>
          <w:noProof/>
        </w:rPr>
        <w:drawing>
          <wp:inline distT="0" distB="0" distL="0" distR="0">
            <wp:extent cx="3397250" cy="3371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1C1" w:rsidRDefault="00FB4907" w:rsidP="002A11EB">
      <w:r>
        <w:t xml:space="preserve">Note that category numbers in the above tables may differ slightly from the tables presented in the Jan. 30 slide deck, which relied </w:t>
      </w:r>
      <w:r w:rsidR="0037165A">
        <w:t xml:space="preserve">on </w:t>
      </w:r>
      <w:r>
        <w:t xml:space="preserve">an older spreadsheet. Additional renewable claims associated with Pacific Corp and Nevada Power </w:t>
      </w:r>
      <w:proofErr w:type="gramStart"/>
      <w:r>
        <w:t>were ded</w:t>
      </w:r>
      <w:bookmarkStart w:id="0" w:name="_GoBack"/>
      <w:bookmarkEnd w:id="0"/>
      <w:r>
        <w:t>ucted</w:t>
      </w:r>
      <w:proofErr w:type="gramEnd"/>
      <w:r>
        <w:t xml:space="preserve"> from the above tables.</w:t>
      </w:r>
    </w:p>
    <w:p w:rsidR="007E31C1" w:rsidRDefault="007E31C1">
      <w:r>
        <w:br w:type="page"/>
      </w:r>
    </w:p>
    <w:p w:rsidR="002A11EB" w:rsidRPr="007E31C1" w:rsidRDefault="00942550" w:rsidP="002A11EB">
      <w:pPr>
        <w:rPr>
          <w:sz w:val="28"/>
          <w:szCs w:val="28"/>
          <w:u w:val="single"/>
        </w:rPr>
      </w:pPr>
      <w:r w:rsidRPr="007E31C1">
        <w:rPr>
          <w:sz w:val="28"/>
          <w:szCs w:val="28"/>
          <w:u w:val="single"/>
        </w:rPr>
        <w:lastRenderedPageBreak/>
        <w:t>Additional Charts and Tables</w:t>
      </w:r>
    </w:p>
    <w:p w:rsidR="00953A07" w:rsidRPr="00953A07" w:rsidRDefault="00953A07" w:rsidP="00953A07">
      <w:pPr>
        <w:ind w:left="1980"/>
        <w:rPr>
          <w:sz w:val="40"/>
          <w:szCs w:val="40"/>
        </w:rPr>
      </w:pPr>
      <w:r w:rsidRPr="00953A07">
        <w:rPr>
          <w:sz w:val="40"/>
          <w:szCs w:val="40"/>
        </w:rPr>
        <w:t>Northwest Power Pool Boundaries</w:t>
      </w:r>
    </w:p>
    <w:p w:rsidR="00EE6058" w:rsidRDefault="00953A07" w:rsidP="00EE6058">
      <w:pPr>
        <w:ind w:left="1800"/>
      </w:pPr>
      <w:r w:rsidRPr="00EE6058">
        <w:rPr>
          <w:noProof/>
        </w:rPr>
        <w:drawing>
          <wp:inline distT="0" distB="0" distL="0" distR="0" wp14:anchorId="77276902" wp14:editId="3DF45C6D">
            <wp:extent cx="3980616" cy="4241800"/>
            <wp:effectExtent l="0" t="0" r="1270" b="6350"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404" cy="425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53A07" w:rsidRDefault="00953A07" w:rsidP="00942550">
      <w:pPr>
        <w:ind w:left="1800"/>
      </w:pPr>
      <w:r>
        <w:t>Blue circles represent states with specified claims on generating resources</w:t>
      </w:r>
    </w:p>
    <w:p w:rsidR="00942550" w:rsidRDefault="00942550" w:rsidP="00EE6058">
      <w:pPr>
        <w:ind w:left="1800"/>
      </w:pPr>
    </w:p>
    <w:p w:rsidR="00953A07" w:rsidRDefault="00942550" w:rsidP="007E31C1">
      <w:pPr>
        <w:ind w:left="1800"/>
      </w:pPr>
      <w:r w:rsidRPr="00942550">
        <w:rPr>
          <w:noProof/>
        </w:rPr>
        <w:drawing>
          <wp:inline distT="0" distB="0" distL="0" distR="0">
            <wp:extent cx="4083050" cy="3219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3A07" w:rsidSect="004427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2E1" w:rsidRDefault="000B32E1" w:rsidP="000B32E1">
      <w:pPr>
        <w:spacing w:after="0" w:line="240" w:lineRule="auto"/>
      </w:pPr>
      <w:r>
        <w:separator/>
      </w:r>
    </w:p>
  </w:endnote>
  <w:endnote w:type="continuationSeparator" w:id="0">
    <w:p w:rsidR="000B32E1" w:rsidRDefault="000B32E1" w:rsidP="000B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2E1" w:rsidRDefault="000B32E1" w:rsidP="000B32E1">
      <w:pPr>
        <w:spacing w:after="0" w:line="240" w:lineRule="auto"/>
      </w:pPr>
      <w:r>
        <w:separator/>
      </w:r>
    </w:p>
  </w:footnote>
  <w:footnote w:type="continuationSeparator" w:id="0">
    <w:p w:rsidR="000B32E1" w:rsidRDefault="000B32E1" w:rsidP="000B32E1">
      <w:pPr>
        <w:spacing w:after="0" w:line="240" w:lineRule="auto"/>
      </w:pPr>
      <w:r>
        <w:continuationSeparator/>
      </w:r>
    </w:p>
  </w:footnote>
  <w:footnote w:id="1">
    <w:p w:rsidR="000B32E1" w:rsidRDefault="000B32E1">
      <w:pPr>
        <w:pStyle w:val="FootnoteText"/>
      </w:pPr>
      <w:r>
        <w:rPr>
          <w:rStyle w:val="FootnoteReference"/>
        </w:rPr>
        <w:footnoteRef/>
      </w:r>
      <w:r>
        <w:t xml:space="preserve"> Unadjusted NSM means that renewables are not zeroed out and that </w:t>
      </w:r>
      <w:proofErr w:type="gramStart"/>
      <w:r>
        <w:t>3</w:t>
      </w:r>
      <w:proofErr w:type="gramEnd"/>
      <w:r>
        <w:t xml:space="preserve"> non-NWPP Pacific Corp plants are included.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96"/>
    <w:rsid w:val="00081157"/>
    <w:rsid w:val="00092BC8"/>
    <w:rsid w:val="000B32E1"/>
    <w:rsid w:val="00122678"/>
    <w:rsid w:val="002A11EB"/>
    <w:rsid w:val="0037165A"/>
    <w:rsid w:val="00442796"/>
    <w:rsid w:val="004F2491"/>
    <w:rsid w:val="00580610"/>
    <w:rsid w:val="00592208"/>
    <w:rsid w:val="005B77AE"/>
    <w:rsid w:val="00643F03"/>
    <w:rsid w:val="0065294D"/>
    <w:rsid w:val="00667B14"/>
    <w:rsid w:val="006E57F7"/>
    <w:rsid w:val="007E31C1"/>
    <w:rsid w:val="00930512"/>
    <w:rsid w:val="00942550"/>
    <w:rsid w:val="00953A07"/>
    <w:rsid w:val="009849D4"/>
    <w:rsid w:val="009B16F9"/>
    <w:rsid w:val="00B41909"/>
    <w:rsid w:val="00CE5A18"/>
    <w:rsid w:val="00E44DED"/>
    <w:rsid w:val="00EB5657"/>
    <w:rsid w:val="00ED014F"/>
    <w:rsid w:val="00EE6058"/>
    <w:rsid w:val="00F8540C"/>
    <w:rsid w:val="00FB1031"/>
    <w:rsid w:val="00FB2DF5"/>
    <w:rsid w:val="00FB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FD3C2"/>
  <w15:chartTrackingRefBased/>
  <w15:docId w15:val="{7ED778A1-50D3-48FD-968D-BD0E2D5B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9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19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19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419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32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2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2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E414A-D079-4307-959F-4922CCE2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Nothstein, Greg (COM)</dc:creator>
  <cp:keywords/>
  <dc:description/>
  <cp:lastModifiedBy>Sharp, Carolee (COM)</cp:lastModifiedBy>
  <cp:revision>4</cp:revision>
  <dcterms:created xsi:type="dcterms:W3CDTF">2017-02-07T19:08:00Z</dcterms:created>
  <dcterms:modified xsi:type="dcterms:W3CDTF">2017-02-27T20:38:00Z</dcterms:modified>
</cp:coreProperties>
</file>