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7A" w:rsidRDefault="0055157A" w:rsidP="00126758">
      <w:pPr>
        <w:spacing w:after="0"/>
        <w:jc w:val="center"/>
        <w:rPr>
          <w:sz w:val="36"/>
          <w:szCs w:val="36"/>
        </w:rPr>
      </w:pPr>
    </w:p>
    <w:p w:rsidR="00134489" w:rsidRDefault="00AC45D3" w:rsidP="00126758">
      <w:pPr>
        <w:spacing w:after="0"/>
        <w:jc w:val="center"/>
        <w:rPr>
          <w:sz w:val="28"/>
          <w:szCs w:val="36"/>
        </w:rPr>
      </w:pPr>
      <w:r>
        <w:rPr>
          <w:sz w:val="36"/>
          <w:szCs w:val="36"/>
        </w:rPr>
        <w:t>Landlord Mitigation Program</w:t>
      </w:r>
      <w:r w:rsidR="00D46C89">
        <w:rPr>
          <w:sz w:val="36"/>
          <w:szCs w:val="36"/>
        </w:rPr>
        <w:t xml:space="preserve"> </w:t>
      </w:r>
      <w:r w:rsidR="00C66ECE">
        <w:rPr>
          <w:sz w:val="36"/>
          <w:szCs w:val="36"/>
        </w:rPr>
        <w:br/>
      </w:r>
      <w:r w:rsidR="00691EE1" w:rsidRPr="00691EE1">
        <w:rPr>
          <w:sz w:val="36"/>
          <w:szCs w:val="36"/>
        </w:rPr>
        <w:t xml:space="preserve">Questions </w:t>
      </w:r>
      <w:r w:rsidR="00BA053B">
        <w:rPr>
          <w:sz w:val="36"/>
          <w:szCs w:val="36"/>
        </w:rPr>
        <w:t>&amp;</w:t>
      </w:r>
      <w:r w:rsidR="00691EE1" w:rsidRPr="00691EE1">
        <w:rPr>
          <w:sz w:val="36"/>
          <w:szCs w:val="36"/>
        </w:rPr>
        <w:t xml:space="preserve"> Answers</w:t>
      </w:r>
      <w:r w:rsidR="00D46C89">
        <w:rPr>
          <w:sz w:val="36"/>
          <w:szCs w:val="36"/>
        </w:rPr>
        <w:br/>
      </w:r>
      <w:r w:rsidR="007A797E" w:rsidRPr="007A797E">
        <w:rPr>
          <w:sz w:val="28"/>
          <w:szCs w:val="36"/>
        </w:rPr>
        <w:t xml:space="preserve">Originally </w:t>
      </w:r>
      <w:r w:rsidR="00D46C89" w:rsidRPr="007A797E">
        <w:rPr>
          <w:sz w:val="28"/>
          <w:szCs w:val="36"/>
        </w:rPr>
        <w:t xml:space="preserve">Published: </w:t>
      </w:r>
      <w:r w:rsidR="000B1A76">
        <w:rPr>
          <w:sz w:val="28"/>
          <w:szCs w:val="36"/>
        </w:rPr>
        <w:t>11/10/2016</w:t>
      </w:r>
    </w:p>
    <w:p w:rsidR="004C71A7" w:rsidRDefault="00134489" w:rsidP="00126758">
      <w:pPr>
        <w:spacing w:after="0"/>
        <w:jc w:val="center"/>
        <w:rPr>
          <w:sz w:val="32"/>
          <w:szCs w:val="36"/>
        </w:rPr>
      </w:pPr>
      <w:r>
        <w:rPr>
          <w:sz w:val="28"/>
          <w:szCs w:val="36"/>
        </w:rPr>
        <w:t xml:space="preserve">Most Recently Updated </w:t>
      </w:r>
      <w:r w:rsidR="00CE1206">
        <w:rPr>
          <w:sz w:val="28"/>
          <w:szCs w:val="36"/>
        </w:rPr>
        <w:t>2</w:t>
      </w:r>
      <w:r>
        <w:rPr>
          <w:sz w:val="28"/>
          <w:szCs w:val="36"/>
        </w:rPr>
        <w:t>/</w:t>
      </w:r>
      <w:r w:rsidR="007C7A1A">
        <w:rPr>
          <w:sz w:val="28"/>
          <w:szCs w:val="36"/>
        </w:rPr>
        <w:t>28</w:t>
      </w:r>
      <w:bookmarkStart w:id="0" w:name="_GoBack"/>
      <w:bookmarkEnd w:id="0"/>
      <w:r>
        <w:rPr>
          <w:sz w:val="28"/>
          <w:szCs w:val="36"/>
        </w:rPr>
        <w:t>/201</w:t>
      </w:r>
      <w:r w:rsidR="00CE1206">
        <w:rPr>
          <w:sz w:val="28"/>
          <w:szCs w:val="36"/>
        </w:rPr>
        <w:t>7</w:t>
      </w:r>
      <w:r w:rsidR="004C71A7" w:rsidRPr="007A797E">
        <w:rPr>
          <w:sz w:val="28"/>
          <w:szCs w:val="36"/>
        </w:rPr>
        <w:br/>
      </w:r>
    </w:p>
    <w:p w:rsidR="00EC2BF8" w:rsidRDefault="00EC2BF8" w:rsidP="00126758">
      <w:pPr>
        <w:spacing w:after="0"/>
        <w:jc w:val="center"/>
        <w:rPr>
          <w:b/>
          <w:color w:val="C00000"/>
          <w:sz w:val="24"/>
          <w:szCs w:val="24"/>
        </w:rPr>
      </w:pPr>
      <w:r w:rsidRPr="00DD0A38">
        <w:rPr>
          <w:b/>
          <w:color w:val="C00000"/>
          <w:sz w:val="24"/>
          <w:szCs w:val="24"/>
        </w:rPr>
        <w:t xml:space="preserve">This document may be frequently updated or revised. Please visit </w:t>
      </w:r>
      <w:hyperlink r:id="rId11" w:history="1">
        <w:r w:rsidRPr="00DD0A38">
          <w:rPr>
            <w:rStyle w:val="Hyperlink"/>
            <w:b/>
            <w:color w:val="C00000"/>
            <w:sz w:val="24"/>
            <w:szCs w:val="24"/>
          </w:rPr>
          <w:t>http://www.commerce.wa.gov/building-infrastructure/housing/housing-trust-fund/</w:t>
        </w:r>
      </w:hyperlink>
      <w:r w:rsidRPr="00DD0A38">
        <w:rPr>
          <w:b/>
          <w:color w:val="C00000"/>
          <w:sz w:val="24"/>
          <w:szCs w:val="24"/>
        </w:rPr>
        <w:t xml:space="preserve"> for the most current version. </w:t>
      </w:r>
    </w:p>
    <w:p w:rsidR="0055157A" w:rsidRPr="0055157A" w:rsidRDefault="0055157A" w:rsidP="00126758">
      <w:pPr>
        <w:spacing w:after="0"/>
        <w:jc w:val="center"/>
        <w:rPr>
          <w:b/>
          <w:color w:val="C00000"/>
          <w:sz w:val="18"/>
          <w:szCs w:val="24"/>
        </w:rPr>
      </w:pPr>
    </w:p>
    <w:tbl>
      <w:tblPr>
        <w:tblStyle w:val="TableProfessional"/>
        <w:tblW w:w="0" w:type="auto"/>
        <w:tblLook w:val="04A0" w:firstRow="1" w:lastRow="0" w:firstColumn="1" w:lastColumn="0" w:noHBand="0" w:noVBand="1"/>
      </w:tblPr>
      <w:tblGrid>
        <w:gridCol w:w="1464"/>
        <w:gridCol w:w="4342"/>
        <w:gridCol w:w="4978"/>
      </w:tblGrid>
      <w:tr w:rsidR="00150855" w:rsidTr="0055157A">
        <w:trPr>
          <w:cnfStyle w:val="100000000000" w:firstRow="1" w:lastRow="0" w:firstColumn="0" w:lastColumn="0" w:oddVBand="0" w:evenVBand="0" w:oddHBand="0" w:evenHBand="0" w:firstRowFirstColumn="0" w:firstRowLastColumn="0" w:lastRowFirstColumn="0" w:lastRowLastColumn="0"/>
          <w:cantSplit/>
          <w:trHeight w:val="363"/>
        </w:trPr>
        <w:tc>
          <w:tcPr>
            <w:tcW w:w="1471" w:type="dxa"/>
            <w:shd w:val="clear" w:color="auto" w:fill="C6D9F1" w:themeFill="text2" w:themeFillTint="33"/>
          </w:tcPr>
          <w:p w:rsidR="00150855" w:rsidRPr="00783289" w:rsidRDefault="00150855" w:rsidP="00126758">
            <w:pPr>
              <w:spacing w:after="0"/>
              <w:jc w:val="center"/>
              <w:rPr>
                <w:sz w:val="24"/>
                <w:szCs w:val="24"/>
              </w:rPr>
            </w:pPr>
            <w:r>
              <w:rPr>
                <w:sz w:val="24"/>
                <w:szCs w:val="24"/>
              </w:rPr>
              <w:t>Topic</w:t>
            </w:r>
          </w:p>
        </w:tc>
        <w:tc>
          <w:tcPr>
            <w:tcW w:w="4454" w:type="dxa"/>
            <w:shd w:val="clear" w:color="auto" w:fill="C6D9F1" w:themeFill="text2" w:themeFillTint="33"/>
            <w:vAlign w:val="center"/>
          </w:tcPr>
          <w:p w:rsidR="00150855" w:rsidRPr="00783289" w:rsidRDefault="00150855" w:rsidP="00126758">
            <w:pPr>
              <w:spacing w:after="0"/>
              <w:jc w:val="center"/>
              <w:rPr>
                <w:sz w:val="24"/>
                <w:szCs w:val="24"/>
              </w:rPr>
            </w:pPr>
            <w:r w:rsidRPr="00783289">
              <w:rPr>
                <w:sz w:val="24"/>
                <w:szCs w:val="24"/>
              </w:rPr>
              <w:t>Question</w:t>
            </w:r>
          </w:p>
        </w:tc>
        <w:tc>
          <w:tcPr>
            <w:tcW w:w="5091" w:type="dxa"/>
            <w:shd w:val="clear" w:color="auto" w:fill="C6D9F1" w:themeFill="text2" w:themeFillTint="33"/>
            <w:vAlign w:val="center"/>
          </w:tcPr>
          <w:p w:rsidR="00150855" w:rsidRPr="00783289" w:rsidRDefault="00150855" w:rsidP="00126758">
            <w:pPr>
              <w:spacing w:after="0"/>
              <w:jc w:val="center"/>
              <w:rPr>
                <w:sz w:val="24"/>
                <w:szCs w:val="24"/>
              </w:rPr>
            </w:pPr>
            <w:r w:rsidRPr="00783289">
              <w:rPr>
                <w:sz w:val="24"/>
                <w:szCs w:val="24"/>
              </w:rPr>
              <w:t>Answer</w:t>
            </w:r>
          </w:p>
        </w:tc>
      </w:tr>
      <w:tr w:rsidR="000C6F5F" w:rsidTr="00AC45D3">
        <w:trPr>
          <w:cantSplit/>
          <w:trHeight w:val="59"/>
        </w:trPr>
        <w:tc>
          <w:tcPr>
            <w:tcW w:w="1471" w:type="dxa"/>
          </w:tcPr>
          <w:p w:rsidR="000C6F5F" w:rsidRPr="0093549D" w:rsidRDefault="00435F48" w:rsidP="00126758">
            <w:pPr>
              <w:spacing w:after="0"/>
              <w:rPr>
                <w:rFonts w:asciiTheme="minorHAnsi" w:hAnsiTheme="minorHAnsi"/>
                <w:sz w:val="24"/>
                <w:szCs w:val="24"/>
              </w:rPr>
            </w:pPr>
            <w:r>
              <w:rPr>
                <w:rFonts w:asciiTheme="minorHAnsi" w:hAnsiTheme="minorHAnsi"/>
                <w:sz w:val="24"/>
                <w:szCs w:val="24"/>
              </w:rPr>
              <w:t>Location Eligibility</w:t>
            </w:r>
          </w:p>
        </w:tc>
        <w:tc>
          <w:tcPr>
            <w:tcW w:w="4454" w:type="dxa"/>
          </w:tcPr>
          <w:p w:rsidR="000C6F5F" w:rsidRPr="001F139D" w:rsidRDefault="00435F48" w:rsidP="00126758">
            <w:pPr>
              <w:spacing w:after="0"/>
              <w:rPr>
                <w:rFonts w:asciiTheme="minorHAnsi" w:hAnsiTheme="minorHAnsi"/>
              </w:rPr>
            </w:pPr>
            <w:r w:rsidRPr="001F139D">
              <w:t>“I’ve reviewed the list of locations on your website and I did not see Tacoma, does that mean our properties would not qualify for this Program?”</w:t>
            </w:r>
          </w:p>
        </w:tc>
        <w:tc>
          <w:tcPr>
            <w:tcW w:w="5091" w:type="dxa"/>
          </w:tcPr>
          <w:p w:rsidR="000C6F5F" w:rsidRPr="001F139D" w:rsidRDefault="008B083F" w:rsidP="007C0720">
            <w:pPr>
              <w:spacing w:after="0"/>
              <w:rPr>
                <w:rFonts w:asciiTheme="minorHAnsi" w:hAnsiTheme="minorHAnsi"/>
              </w:rPr>
            </w:pPr>
            <w:r w:rsidRPr="001F139D">
              <w:rPr>
                <w:rFonts w:asciiTheme="minorHAnsi" w:hAnsiTheme="minorHAnsi"/>
                <w:b/>
                <w:color w:val="00B050"/>
              </w:rPr>
              <w:t>Yes</w:t>
            </w:r>
            <w:r w:rsidR="00435F48" w:rsidRPr="001F139D">
              <w:rPr>
                <w:rFonts w:asciiTheme="minorHAnsi" w:hAnsiTheme="minorHAnsi"/>
              </w:rPr>
              <w:t xml:space="preserve">. However, if </w:t>
            </w:r>
            <w:r w:rsidR="007C0720" w:rsidRPr="001F139D">
              <w:rPr>
                <w:rFonts w:asciiTheme="minorHAnsi" w:hAnsiTheme="minorHAnsi"/>
              </w:rPr>
              <w:t>a landlord can produce evidence</w:t>
            </w:r>
            <w:r w:rsidR="00435F48" w:rsidRPr="001F139D">
              <w:rPr>
                <w:rFonts w:asciiTheme="minorHAnsi" w:hAnsiTheme="minorHAnsi"/>
              </w:rPr>
              <w:t xml:space="preserve"> that a jurisdiction not listed has in fact enacted a law preventing source-of-income based discrimination, Commerce will add that jurisdiction to the eligible list.</w:t>
            </w:r>
          </w:p>
        </w:tc>
      </w:tr>
      <w:tr w:rsidR="00150855" w:rsidTr="00AC45D3">
        <w:trPr>
          <w:cantSplit/>
          <w:trHeight w:val="59"/>
        </w:trPr>
        <w:tc>
          <w:tcPr>
            <w:tcW w:w="1471" w:type="dxa"/>
          </w:tcPr>
          <w:p w:rsidR="00150855" w:rsidRPr="00783289" w:rsidRDefault="00126758" w:rsidP="00126758">
            <w:pPr>
              <w:spacing w:after="0"/>
              <w:rPr>
                <w:sz w:val="24"/>
                <w:szCs w:val="24"/>
              </w:rPr>
            </w:pPr>
            <w:r>
              <w:rPr>
                <w:sz w:val="24"/>
                <w:szCs w:val="24"/>
              </w:rPr>
              <w:t>Owner Eligibility</w:t>
            </w:r>
          </w:p>
        </w:tc>
        <w:tc>
          <w:tcPr>
            <w:tcW w:w="4454" w:type="dxa"/>
          </w:tcPr>
          <w:p w:rsidR="00150855" w:rsidRPr="001F139D" w:rsidRDefault="00126758" w:rsidP="00126758">
            <w:pPr>
              <w:spacing w:after="0"/>
            </w:pPr>
            <w:r w:rsidRPr="001F139D">
              <w:t xml:space="preserve">“Are non-profit owners who receive [Commerce] funding and other development subsidies eligible for this program?”  </w:t>
            </w:r>
          </w:p>
        </w:tc>
        <w:tc>
          <w:tcPr>
            <w:tcW w:w="5091" w:type="dxa"/>
          </w:tcPr>
          <w:p w:rsidR="00150855" w:rsidRPr="001F139D" w:rsidRDefault="00435F48" w:rsidP="007C0720">
            <w:pPr>
              <w:spacing w:after="0"/>
            </w:pPr>
            <w:r w:rsidRPr="001F139D">
              <w:rPr>
                <w:b/>
                <w:color w:val="00B050"/>
              </w:rPr>
              <w:t>Yes</w:t>
            </w:r>
            <w:r w:rsidRPr="001F139D">
              <w:t xml:space="preserve">. </w:t>
            </w:r>
            <w:r w:rsidR="00126758" w:rsidRPr="001F139D">
              <w:t xml:space="preserve">The availability of </w:t>
            </w:r>
            <w:r w:rsidR="007C0720" w:rsidRPr="001F139D">
              <w:t xml:space="preserve">program </w:t>
            </w:r>
            <w:r w:rsidR="00126758" w:rsidRPr="001F139D">
              <w:t xml:space="preserve">funds pertains to the </w:t>
            </w:r>
            <w:r w:rsidR="007C0720" w:rsidRPr="001F139D">
              <w:t xml:space="preserve">housing </w:t>
            </w:r>
            <w:r w:rsidR="00126758" w:rsidRPr="001F139D">
              <w:rPr>
                <w:i/>
              </w:rPr>
              <w:t>unit</w:t>
            </w:r>
            <w:r w:rsidR="00126758" w:rsidRPr="001F139D">
              <w:t xml:space="preserve">, not to the </w:t>
            </w:r>
            <w:r w:rsidR="007C0720" w:rsidRPr="001F139D">
              <w:rPr>
                <w:i/>
              </w:rPr>
              <w:t>landlord</w:t>
            </w:r>
            <w:r w:rsidR="00126758" w:rsidRPr="001F139D">
              <w:t xml:space="preserve">. Nonprofit </w:t>
            </w:r>
            <w:r w:rsidR="007C0720" w:rsidRPr="001F139D">
              <w:t xml:space="preserve">landlords </w:t>
            </w:r>
            <w:r w:rsidR="00126758" w:rsidRPr="001F139D">
              <w:t xml:space="preserve">are not excluded </w:t>
            </w:r>
            <w:r w:rsidR="00126758" w:rsidRPr="001F139D">
              <w:rPr>
                <w:i/>
              </w:rPr>
              <w:t>per se</w:t>
            </w:r>
            <w:r w:rsidR="00126758" w:rsidRPr="001F139D">
              <w:t xml:space="preserve"> from accessing </w:t>
            </w:r>
            <w:r w:rsidR="007C0720" w:rsidRPr="001F139D">
              <w:t xml:space="preserve">program </w:t>
            </w:r>
            <w:r w:rsidR="00126758" w:rsidRPr="001F139D">
              <w:t>funds.</w:t>
            </w:r>
            <w:r w:rsidR="007C0720" w:rsidRPr="001F139D">
              <w:t xml:space="preserve"> See Unit Eligibility below.</w:t>
            </w:r>
          </w:p>
        </w:tc>
      </w:tr>
      <w:tr w:rsidR="00150855" w:rsidTr="0055157A">
        <w:trPr>
          <w:cantSplit/>
          <w:trHeight w:val="65"/>
        </w:trPr>
        <w:tc>
          <w:tcPr>
            <w:tcW w:w="1471" w:type="dxa"/>
          </w:tcPr>
          <w:p w:rsidR="00150855" w:rsidRPr="00783289" w:rsidRDefault="00126758" w:rsidP="00126758">
            <w:pPr>
              <w:spacing w:after="0"/>
              <w:rPr>
                <w:sz w:val="24"/>
                <w:szCs w:val="24"/>
              </w:rPr>
            </w:pPr>
            <w:r>
              <w:rPr>
                <w:sz w:val="24"/>
                <w:szCs w:val="24"/>
              </w:rPr>
              <w:t>Unit Eligibility</w:t>
            </w:r>
          </w:p>
        </w:tc>
        <w:tc>
          <w:tcPr>
            <w:tcW w:w="4454" w:type="dxa"/>
          </w:tcPr>
          <w:p w:rsidR="00150855" w:rsidRPr="001F139D" w:rsidRDefault="0075374C" w:rsidP="00126758">
            <w:pPr>
              <w:spacing w:after="0"/>
            </w:pPr>
            <w:r>
              <w:t>Is HEN voucher landlord eligible for Landlord Mitigation Program under the HUD Housing Choice Program?</w:t>
            </w:r>
          </w:p>
        </w:tc>
        <w:tc>
          <w:tcPr>
            <w:tcW w:w="5091" w:type="dxa"/>
          </w:tcPr>
          <w:p w:rsidR="0075374C" w:rsidRDefault="00435F48" w:rsidP="0075374C">
            <w:pPr>
              <w:spacing w:after="0"/>
            </w:pPr>
            <w:r w:rsidRPr="001F139D">
              <w:rPr>
                <w:rFonts w:asciiTheme="minorHAnsi" w:eastAsiaTheme="minorHAnsi" w:hAnsiTheme="minorHAnsi" w:cstheme="minorBidi"/>
                <w:b/>
                <w:color w:val="FF0000"/>
              </w:rPr>
              <w:t>No</w:t>
            </w:r>
            <w:r w:rsidRPr="001F139D">
              <w:rPr>
                <w:rFonts w:asciiTheme="minorHAnsi" w:eastAsiaTheme="minorHAnsi" w:hAnsiTheme="minorHAnsi" w:cstheme="minorBidi"/>
              </w:rPr>
              <w:t xml:space="preserve">. </w:t>
            </w:r>
            <w:r w:rsidR="001F139D">
              <w:rPr>
                <w:rFonts w:asciiTheme="minorHAnsi" w:hAnsiTheme="minorHAnsi"/>
              </w:rPr>
              <w:t xml:space="preserve">Per </w:t>
            </w:r>
            <w:r w:rsidR="004452EA">
              <w:rPr>
                <w:rFonts w:asciiTheme="minorHAnsi" w:hAnsiTheme="minorHAnsi"/>
              </w:rPr>
              <w:t xml:space="preserve">Section 1010 of </w:t>
            </w:r>
            <w:hyperlink r:id="rId12" w:history="1">
              <w:r w:rsidR="001F139D">
                <w:rPr>
                  <w:rStyle w:val="Hyperlink"/>
                  <w:rFonts w:asciiTheme="minorHAnsi" w:hAnsiTheme="minorHAnsi"/>
                </w:rPr>
                <w:t xml:space="preserve">ESHB 2380, </w:t>
              </w:r>
              <w:r w:rsidR="001F139D" w:rsidRPr="001F139D">
                <w:rPr>
                  <w:rStyle w:val="Hyperlink"/>
                  <w:rFonts w:asciiTheme="minorHAnsi" w:hAnsiTheme="minorHAnsi"/>
                </w:rPr>
                <w:t>Chapter 35</w:t>
              </w:r>
              <w:r w:rsidR="001F139D">
                <w:rPr>
                  <w:rStyle w:val="Hyperlink"/>
                  <w:rFonts w:asciiTheme="minorHAnsi" w:hAnsiTheme="minorHAnsi"/>
                </w:rPr>
                <w:t>,</w:t>
              </w:r>
              <w:r w:rsidR="001F139D" w:rsidRPr="001F139D">
                <w:rPr>
                  <w:rStyle w:val="Hyperlink"/>
                  <w:rFonts w:asciiTheme="minorHAnsi" w:hAnsiTheme="minorHAnsi"/>
                </w:rPr>
                <w:t xml:space="preserve"> Laws of 2016</w:t>
              </w:r>
            </w:hyperlink>
            <w:r w:rsidR="0075374C">
              <w:rPr>
                <w:rFonts w:asciiTheme="minorHAnsi" w:hAnsiTheme="minorHAnsi"/>
              </w:rPr>
              <w:t>, moneys are provided “</w:t>
            </w:r>
            <w:r w:rsidR="0075374C" w:rsidRPr="009C4671">
              <w:t>solely for landlord mitigation</w:t>
            </w:r>
            <w:r w:rsidR="0075374C">
              <w:t>…</w:t>
            </w:r>
            <w:r w:rsidR="0075374C" w:rsidRPr="009C4671">
              <w:t>to private</w:t>
            </w:r>
            <w:r w:rsidR="0075374C">
              <w:t xml:space="preserve"> </w:t>
            </w:r>
            <w:r w:rsidR="0075374C" w:rsidRPr="009C4671">
              <w:t>market units renting to housing choice voucher holders</w:t>
            </w:r>
            <w:r w:rsidR="0075374C">
              <w:t xml:space="preserve">.” </w:t>
            </w:r>
          </w:p>
          <w:p w:rsidR="00150855" w:rsidRPr="0075374C" w:rsidRDefault="0075374C" w:rsidP="0075374C">
            <w:pPr>
              <w:spacing w:after="0"/>
              <w:rPr>
                <w:rFonts w:asciiTheme="minorHAnsi" w:eastAsiaTheme="minorHAnsi" w:hAnsiTheme="minorHAnsi" w:cstheme="minorBidi"/>
              </w:rPr>
            </w:pPr>
            <w:r>
              <w:t xml:space="preserve">Commerce interprets this as restricting the funds to </w:t>
            </w:r>
            <w:r>
              <w:rPr>
                <w:i/>
              </w:rPr>
              <w:t>only</w:t>
            </w:r>
            <w:r>
              <w:t xml:space="preserve"> units previously occupied by holders of one of the types of voucher provided by the Federal Department of Housing and Urban Development’s Housing Choice Voucher Program. Damages caused by residents utilizing State program vouchers, as in the case of those provided by the HEN program, are not reimbursable</w:t>
            </w:r>
          </w:p>
        </w:tc>
      </w:tr>
      <w:tr w:rsidR="0075374C" w:rsidTr="002349E2">
        <w:trPr>
          <w:cantSplit/>
          <w:trHeight w:val="65"/>
        </w:trPr>
        <w:tc>
          <w:tcPr>
            <w:tcW w:w="1471" w:type="dxa"/>
          </w:tcPr>
          <w:p w:rsidR="0075374C" w:rsidRPr="00783289" w:rsidRDefault="0075374C" w:rsidP="002349E2">
            <w:pPr>
              <w:spacing w:after="0"/>
              <w:rPr>
                <w:sz w:val="24"/>
                <w:szCs w:val="24"/>
              </w:rPr>
            </w:pPr>
            <w:r>
              <w:rPr>
                <w:sz w:val="24"/>
                <w:szCs w:val="24"/>
              </w:rPr>
              <w:lastRenderedPageBreak/>
              <w:t>Unit Eligibility</w:t>
            </w:r>
          </w:p>
        </w:tc>
        <w:tc>
          <w:tcPr>
            <w:tcW w:w="4454" w:type="dxa"/>
          </w:tcPr>
          <w:p w:rsidR="0075374C" w:rsidRPr="001F139D" w:rsidRDefault="0075374C" w:rsidP="002349E2">
            <w:pPr>
              <w:spacing w:after="0"/>
            </w:pPr>
            <w:r w:rsidRPr="001F139D">
              <w:t>“…we have a variety of housing types, including some income restricted units that do not come with a rent subsidy and are open to the public. I’d like to confirm these units will qualify for this mitigation fund.” </w:t>
            </w:r>
          </w:p>
        </w:tc>
        <w:tc>
          <w:tcPr>
            <w:tcW w:w="5091" w:type="dxa"/>
          </w:tcPr>
          <w:p w:rsidR="0075374C" w:rsidRDefault="0075374C" w:rsidP="002349E2">
            <w:pPr>
              <w:spacing w:after="0"/>
              <w:rPr>
                <w:rFonts w:asciiTheme="minorHAnsi" w:eastAsiaTheme="minorHAnsi" w:hAnsiTheme="minorHAnsi" w:cstheme="minorBidi"/>
              </w:rPr>
            </w:pPr>
            <w:r w:rsidRPr="001F139D">
              <w:rPr>
                <w:rFonts w:asciiTheme="minorHAnsi" w:eastAsiaTheme="minorHAnsi" w:hAnsiTheme="minorHAnsi" w:cstheme="minorBidi"/>
                <w:b/>
                <w:color w:val="FF0000"/>
              </w:rPr>
              <w:t>No</w:t>
            </w:r>
            <w:r w:rsidRPr="001F139D">
              <w:rPr>
                <w:rFonts w:asciiTheme="minorHAnsi" w:eastAsiaTheme="minorHAnsi" w:hAnsiTheme="minorHAnsi" w:cstheme="minorBidi"/>
              </w:rPr>
              <w:t xml:space="preserve">. </w:t>
            </w:r>
            <w:r>
              <w:rPr>
                <w:rFonts w:asciiTheme="minorHAnsi" w:hAnsiTheme="minorHAnsi"/>
              </w:rPr>
              <w:t xml:space="preserve">Per Section 1010 of </w:t>
            </w:r>
            <w:hyperlink r:id="rId13" w:history="1">
              <w:r>
                <w:rPr>
                  <w:rStyle w:val="Hyperlink"/>
                  <w:rFonts w:asciiTheme="minorHAnsi" w:hAnsiTheme="minorHAnsi"/>
                </w:rPr>
                <w:t xml:space="preserve">ESHB 2380, </w:t>
              </w:r>
              <w:r w:rsidRPr="001F139D">
                <w:rPr>
                  <w:rStyle w:val="Hyperlink"/>
                  <w:rFonts w:asciiTheme="minorHAnsi" w:hAnsiTheme="minorHAnsi"/>
                </w:rPr>
                <w:t>Chapter 35</w:t>
              </w:r>
              <w:r>
                <w:rPr>
                  <w:rStyle w:val="Hyperlink"/>
                  <w:rFonts w:asciiTheme="minorHAnsi" w:hAnsiTheme="minorHAnsi"/>
                </w:rPr>
                <w:t>,</w:t>
              </w:r>
              <w:r w:rsidRPr="001F139D">
                <w:rPr>
                  <w:rStyle w:val="Hyperlink"/>
                  <w:rFonts w:asciiTheme="minorHAnsi" w:hAnsiTheme="minorHAnsi"/>
                </w:rPr>
                <w:t xml:space="preserve"> Laws of 2016</w:t>
              </w:r>
            </w:hyperlink>
            <w:r>
              <w:rPr>
                <w:rFonts w:asciiTheme="minorHAnsi" w:hAnsiTheme="minorHAnsi"/>
              </w:rPr>
              <w:t xml:space="preserve">: “… </w:t>
            </w:r>
            <w:r w:rsidRPr="001F139D">
              <w:rPr>
                <w:rFonts w:asciiTheme="minorHAnsi" w:hAnsiTheme="minorHAnsi"/>
              </w:rPr>
              <w:t xml:space="preserve">the appropriation is provided solely for landlord mitigation for the cost of damages that may be caused to </w:t>
            </w:r>
            <w:r w:rsidRPr="001F139D">
              <w:rPr>
                <w:rFonts w:asciiTheme="minorHAnsi" w:hAnsiTheme="minorHAnsi"/>
                <w:u w:val="single"/>
              </w:rPr>
              <w:t>private market units</w:t>
            </w:r>
            <w:r w:rsidRPr="001F139D">
              <w:rPr>
                <w:rFonts w:asciiTheme="minorHAnsi" w:hAnsiTheme="minorHAnsi"/>
              </w:rPr>
              <w:t xml:space="preserve"> renting to housing choice voucher holders</w:t>
            </w:r>
            <w:r>
              <w:rPr>
                <w:rFonts w:asciiTheme="minorHAnsi" w:hAnsiTheme="minorHAnsi"/>
              </w:rPr>
              <w:t>.” (emphasis added)</w:t>
            </w:r>
          </w:p>
          <w:p w:rsidR="0075374C" w:rsidRPr="001F139D" w:rsidRDefault="0075374C" w:rsidP="002349E2">
            <w:pPr>
              <w:spacing w:after="0"/>
              <w:rPr>
                <w:rFonts w:asciiTheme="minorHAnsi" w:eastAsiaTheme="minorHAnsi" w:hAnsiTheme="minorHAnsi" w:cstheme="minorBidi"/>
              </w:rPr>
            </w:pPr>
            <w:r w:rsidRPr="001F139D">
              <w:rPr>
                <w:rFonts w:asciiTheme="minorHAnsi" w:eastAsiaTheme="minorHAnsi" w:hAnsiTheme="minorHAnsi" w:cstheme="minorBidi"/>
              </w:rPr>
              <w:t xml:space="preserve">Commerce’s interpretation of “private market” applies both to the question of subsidy (in the case of project-based subsidy) </w:t>
            </w:r>
            <w:r w:rsidRPr="001F139D">
              <w:rPr>
                <w:rFonts w:asciiTheme="minorHAnsi" w:eastAsiaTheme="minorHAnsi" w:hAnsiTheme="minorHAnsi" w:cstheme="minorBidi"/>
                <w:i/>
              </w:rPr>
              <w:t>and</w:t>
            </w:r>
            <w:r w:rsidRPr="001F139D">
              <w:rPr>
                <w:rFonts w:asciiTheme="minorHAnsi" w:eastAsiaTheme="minorHAnsi" w:hAnsiTheme="minorHAnsi" w:cstheme="minorBidi"/>
              </w:rPr>
              <w:t xml:space="preserve"> to the question of contractual restrictions. Therefore, even if not receiving subsidy, units covered by the following are excluded from eligibility:</w:t>
            </w:r>
          </w:p>
          <w:p w:rsidR="0075374C" w:rsidRPr="001F139D" w:rsidRDefault="0075374C" w:rsidP="002349E2">
            <w:pPr>
              <w:pStyle w:val="ListParagraph"/>
              <w:numPr>
                <w:ilvl w:val="0"/>
                <w:numId w:val="17"/>
              </w:numPr>
              <w:spacing w:after="0"/>
            </w:pPr>
            <w:r w:rsidRPr="001F139D">
              <w:t>Regulatory Agreement</w:t>
            </w:r>
          </w:p>
          <w:p w:rsidR="0075374C" w:rsidRPr="001F139D" w:rsidRDefault="0075374C" w:rsidP="002349E2">
            <w:pPr>
              <w:pStyle w:val="ListParagraph"/>
              <w:numPr>
                <w:ilvl w:val="0"/>
                <w:numId w:val="17"/>
              </w:numPr>
              <w:spacing w:after="0"/>
            </w:pPr>
            <w:r w:rsidRPr="001F139D">
              <w:t>Covenant of Affordability</w:t>
            </w:r>
          </w:p>
          <w:p w:rsidR="0075374C" w:rsidRPr="001F139D" w:rsidRDefault="0075374C" w:rsidP="002349E2">
            <w:pPr>
              <w:numPr>
                <w:ilvl w:val="0"/>
                <w:numId w:val="17"/>
              </w:numPr>
              <w:spacing w:after="0"/>
              <w:contextualSpacing/>
              <w:rPr>
                <w:rFonts w:asciiTheme="minorHAnsi" w:eastAsiaTheme="minorHAnsi" w:hAnsiTheme="minorHAnsi" w:cstheme="minorBidi"/>
                <w:i/>
              </w:rPr>
            </w:pPr>
            <w:r w:rsidRPr="001F139D">
              <w:t>Affordability Restriction</w:t>
            </w:r>
          </w:p>
        </w:tc>
      </w:tr>
      <w:tr w:rsidR="00150855" w:rsidTr="0055157A">
        <w:trPr>
          <w:cantSplit/>
        </w:trPr>
        <w:tc>
          <w:tcPr>
            <w:tcW w:w="1471" w:type="dxa"/>
          </w:tcPr>
          <w:p w:rsidR="00150855" w:rsidRPr="00512119" w:rsidRDefault="001F139D" w:rsidP="00126758">
            <w:pPr>
              <w:spacing w:after="0"/>
              <w:rPr>
                <w:rFonts w:asciiTheme="minorHAnsi" w:hAnsiTheme="minorHAnsi"/>
                <w:sz w:val="24"/>
                <w:szCs w:val="24"/>
              </w:rPr>
            </w:pPr>
            <w:r>
              <w:rPr>
                <w:rFonts w:asciiTheme="minorHAnsi" w:hAnsiTheme="minorHAnsi"/>
                <w:sz w:val="24"/>
                <w:szCs w:val="24"/>
              </w:rPr>
              <w:t xml:space="preserve">Judgement </w:t>
            </w:r>
          </w:p>
        </w:tc>
        <w:tc>
          <w:tcPr>
            <w:tcW w:w="4454" w:type="dxa"/>
          </w:tcPr>
          <w:p w:rsidR="00150855" w:rsidRPr="001F139D" w:rsidRDefault="001F139D" w:rsidP="0012071B">
            <w:pPr>
              <w:spacing w:after="0"/>
              <w:rPr>
                <w:rFonts w:asciiTheme="minorHAnsi" w:hAnsiTheme="minorHAnsi"/>
              </w:rPr>
            </w:pPr>
            <w:r w:rsidRPr="001F139D">
              <w:rPr>
                <w:rFonts w:asciiTheme="minorHAnsi" w:hAnsiTheme="minorHAnsi"/>
              </w:rPr>
              <w:t>“</w:t>
            </w:r>
            <w:r w:rsidR="0012071B">
              <w:rPr>
                <w:rFonts w:asciiTheme="minorHAnsi" w:hAnsiTheme="minorHAnsi"/>
              </w:rPr>
              <w:t>…t</w:t>
            </w:r>
            <w:r w:rsidRPr="001F139D">
              <w:rPr>
                <w:rFonts w:asciiTheme="minorHAnsi" w:hAnsiTheme="minorHAnsi"/>
              </w:rPr>
              <w:t>he requirement to have a court judgment limits the usability for [</w:t>
            </w:r>
            <w:r w:rsidR="0012071B">
              <w:rPr>
                <w:rFonts w:asciiTheme="minorHAnsi" w:hAnsiTheme="minorHAnsi"/>
              </w:rPr>
              <w:t>my organization</w:t>
            </w:r>
            <w:r w:rsidRPr="001F139D">
              <w:rPr>
                <w:rFonts w:asciiTheme="minorHAnsi" w:hAnsiTheme="minorHAnsi"/>
              </w:rPr>
              <w:t xml:space="preserve">]. … To obtain a court judgment adds cost to </w:t>
            </w:r>
            <w:r w:rsidR="0012071B">
              <w:rPr>
                <w:rFonts w:asciiTheme="minorHAnsi" w:hAnsiTheme="minorHAnsi"/>
              </w:rPr>
              <w:t>[my organization]</w:t>
            </w:r>
            <w:r w:rsidRPr="001F139D">
              <w:rPr>
                <w:rFonts w:asciiTheme="minorHAnsi" w:hAnsiTheme="minorHAnsi"/>
              </w:rPr>
              <w:t xml:space="preserve"> for legal expenses.”</w:t>
            </w:r>
          </w:p>
        </w:tc>
        <w:tc>
          <w:tcPr>
            <w:tcW w:w="5091" w:type="dxa"/>
          </w:tcPr>
          <w:p w:rsidR="00150855" w:rsidRPr="001F139D" w:rsidRDefault="0012071B" w:rsidP="004452EA">
            <w:pPr>
              <w:spacing w:after="0"/>
              <w:rPr>
                <w:rFonts w:asciiTheme="minorHAnsi" w:hAnsiTheme="minorHAnsi" w:cstheme="minorBidi"/>
              </w:rPr>
            </w:pPr>
            <w:r>
              <w:rPr>
                <w:rFonts w:asciiTheme="minorHAnsi" w:hAnsiTheme="minorHAnsi"/>
              </w:rPr>
              <w:t>Commerce understands that requiring a judgement adds cost</w:t>
            </w:r>
            <w:r w:rsidR="004452EA">
              <w:rPr>
                <w:rFonts w:asciiTheme="minorHAnsi" w:hAnsiTheme="minorHAnsi"/>
              </w:rPr>
              <w:t>, among other potential difficulties</w:t>
            </w:r>
            <w:r>
              <w:rPr>
                <w:rFonts w:asciiTheme="minorHAnsi" w:hAnsiTheme="minorHAnsi"/>
              </w:rPr>
              <w:t xml:space="preserve">. </w:t>
            </w:r>
            <w:r w:rsidR="004452EA">
              <w:rPr>
                <w:rFonts w:asciiTheme="minorHAnsi" w:hAnsiTheme="minorHAnsi"/>
              </w:rPr>
              <w:t xml:space="preserve">However, </w:t>
            </w:r>
            <w:r w:rsidR="004452EA" w:rsidRPr="00057A58">
              <w:rPr>
                <w:rFonts w:asciiTheme="minorHAnsi" w:hAnsiTheme="minorHAnsi"/>
                <w:b/>
              </w:rPr>
              <w:t>t</w:t>
            </w:r>
            <w:r w:rsidRPr="00057A58">
              <w:rPr>
                <w:rFonts w:asciiTheme="minorHAnsi" w:hAnsiTheme="minorHAnsi"/>
                <w:b/>
              </w:rPr>
              <w:t xml:space="preserve">he </w:t>
            </w:r>
            <w:r w:rsidR="004452EA" w:rsidRPr="00057A58">
              <w:rPr>
                <w:rFonts w:asciiTheme="minorHAnsi" w:hAnsiTheme="minorHAnsi"/>
                <w:b/>
              </w:rPr>
              <w:t>o</w:t>
            </w:r>
            <w:r w:rsidR="001F139D" w:rsidRPr="00057A58">
              <w:rPr>
                <w:rFonts w:asciiTheme="minorHAnsi" w:hAnsiTheme="minorHAnsi"/>
                <w:b/>
              </w:rPr>
              <w:t xml:space="preserve">btaining </w:t>
            </w:r>
            <w:r w:rsidR="004452EA" w:rsidRPr="00057A58">
              <w:rPr>
                <w:rFonts w:asciiTheme="minorHAnsi" w:hAnsiTheme="minorHAnsi"/>
                <w:b/>
              </w:rPr>
              <w:t xml:space="preserve">of </w:t>
            </w:r>
            <w:r w:rsidR="001F139D" w:rsidRPr="00057A58">
              <w:rPr>
                <w:rFonts w:asciiTheme="minorHAnsi" w:hAnsiTheme="minorHAnsi"/>
                <w:b/>
              </w:rPr>
              <w:t>a judgement is a legislative requirement</w:t>
            </w:r>
            <w:r w:rsidR="001F139D">
              <w:rPr>
                <w:rFonts w:asciiTheme="minorHAnsi" w:hAnsiTheme="minorHAnsi"/>
              </w:rPr>
              <w:t xml:space="preserve">. </w:t>
            </w:r>
          </w:p>
        </w:tc>
      </w:tr>
      <w:tr w:rsidR="002643DD" w:rsidTr="0055157A">
        <w:trPr>
          <w:cantSplit/>
        </w:trPr>
        <w:tc>
          <w:tcPr>
            <w:tcW w:w="1471" w:type="dxa"/>
          </w:tcPr>
          <w:p w:rsidR="002643DD" w:rsidRDefault="002643DD" w:rsidP="00126758">
            <w:pPr>
              <w:spacing w:after="0"/>
              <w:rPr>
                <w:rFonts w:asciiTheme="minorHAnsi" w:hAnsiTheme="minorHAnsi"/>
                <w:sz w:val="24"/>
                <w:szCs w:val="24"/>
              </w:rPr>
            </w:pPr>
            <w:r w:rsidRPr="004001B5">
              <w:rPr>
                <w:rFonts w:asciiTheme="minorHAnsi" w:hAnsiTheme="minorHAnsi"/>
                <w:sz w:val="24"/>
                <w:szCs w:val="24"/>
              </w:rPr>
              <w:t>Judgement</w:t>
            </w:r>
          </w:p>
        </w:tc>
        <w:tc>
          <w:tcPr>
            <w:tcW w:w="4454" w:type="dxa"/>
          </w:tcPr>
          <w:p w:rsidR="002643DD" w:rsidRPr="00D73BE4" w:rsidRDefault="002643DD" w:rsidP="0012071B">
            <w:pPr>
              <w:spacing w:after="0"/>
              <w:rPr>
                <w:rFonts w:asciiTheme="minorHAnsi" w:hAnsiTheme="minorHAnsi"/>
              </w:rPr>
            </w:pPr>
            <w:r w:rsidRPr="00D73BE4">
              <w:rPr>
                <w:rFonts w:asciiTheme="minorHAnsi" w:hAnsiTheme="minorHAnsi"/>
              </w:rPr>
              <w:t>“</w:t>
            </w:r>
            <w:r w:rsidRPr="00D73BE4">
              <w:t>From my understanding, unlawful detainers (eviction) judgments don’t list the delinquent amount…”</w:t>
            </w:r>
          </w:p>
        </w:tc>
        <w:tc>
          <w:tcPr>
            <w:tcW w:w="5091" w:type="dxa"/>
          </w:tcPr>
          <w:p w:rsidR="002643DD" w:rsidRDefault="002643DD" w:rsidP="004452EA">
            <w:pPr>
              <w:spacing w:after="0"/>
              <w:rPr>
                <w:rFonts w:asciiTheme="minorHAnsi" w:hAnsiTheme="minorHAnsi"/>
              </w:rPr>
            </w:pPr>
            <w:r>
              <w:rPr>
                <w:rFonts w:asciiTheme="minorHAnsi" w:hAnsiTheme="minorHAnsi"/>
              </w:rPr>
              <w:t xml:space="preserve">It is true that Unlawful Detainers (writs of restitution) do not list delinquent amounts. Their purpose is specifically to provide authority for the listed law enforcement agency to carry out an eviction. No specific assignment of damages to the landlord is made by an Unlawful Detainer (writ of restitution); hence it is insufficient for the purposes of the Landlord Mitigation Program.  </w:t>
            </w:r>
            <w:r w:rsidRPr="00057A58">
              <w:rPr>
                <w:rFonts w:asciiTheme="minorHAnsi" w:hAnsiTheme="minorHAnsi"/>
                <w:b/>
              </w:rPr>
              <w:t xml:space="preserve">Commerce cannot issue reimbursement to </w:t>
            </w:r>
            <w:r w:rsidRPr="00057A58">
              <w:rPr>
                <w:rFonts w:asciiTheme="minorHAnsi" w:hAnsiTheme="minorHAnsi"/>
                <w:b/>
                <w:i/>
              </w:rPr>
              <w:t>any</w:t>
            </w:r>
            <w:r w:rsidRPr="00057A58">
              <w:rPr>
                <w:rFonts w:asciiTheme="minorHAnsi" w:hAnsiTheme="minorHAnsi"/>
                <w:b/>
              </w:rPr>
              <w:t xml:space="preserve"> costs not specifically covered by a judgement issued by a court</w:t>
            </w:r>
            <w:r w:rsidRPr="004001B5">
              <w:rPr>
                <w:rFonts w:asciiTheme="minorHAnsi" w:hAnsiTheme="minorHAnsi"/>
              </w:rPr>
              <w:t>.</w:t>
            </w:r>
          </w:p>
        </w:tc>
      </w:tr>
      <w:tr w:rsidR="002643DD" w:rsidTr="0055157A">
        <w:trPr>
          <w:cantSplit/>
        </w:trPr>
        <w:tc>
          <w:tcPr>
            <w:tcW w:w="1471" w:type="dxa"/>
          </w:tcPr>
          <w:p w:rsidR="002643DD" w:rsidRDefault="002643DD" w:rsidP="00126758">
            <w:pPr>
              <w:spacing w:after="0"/>
              <w:rPr>
                <w:rFonts w:asciiTheme="minorHAnsi" w:hAnsiTheme="minorHAnsi"/>
                <w:sz w:val="24"/>
                <w:szCs w:val="24"/>
              </w:rPr>
            </w:pPr>
            <w:r w:rsidRPr="004001B5">
              <w:rPr>
                <w:rFonts w:asciiTheme="minorHAnsi" w:hAnsiTheme="minorHAnsi"/>
                <w:sz w:val="24"/>
                <w:szCs w:val="24"/>
              </w:rPr>
              <w:t>Judgement</w:t>
            </w:r>
          </w:p>
        </w:tc>
        <w:tc>
          <w:tcPr>
            <w:tcW w:w="4454" w:type="dxa"/>
          </w:tcPr>
          <w:p w:rsidR="002643DD" w:rsidRPr="001F139D" w:rsidRDefault="002643DD" w:rsidP="0012071B">
            <w:pPr>
              <w:spacing w:after="0"/>
              <w:rPr>
                <w:rFonts w:asciiTheme="minorHAnsi" w:hAnsiTheme="minorHAnsi"/>
              </w:rPr>
            </w:pPr>
            <w:r>
              <w:rPr>
                <w:rFonts w:asciiTheme="minorHAnsi" w:hAnsiTheme="minorHAnsi"/>
              </w:rPr>
              <w:t>Can Commerce provide reimbursement for cleanup costs in the case of a resident who died in their unit?</w:t>
            </w:r>
          </w:p>
        </w:tc>
        <w:tc>
          <w:tcPr>
            <w:tcW w:w="5091" w:type="dxa"/>
          </w:tcPr>
          <w:p w:rsidR="002643DD" w:rsidRDefault="002643DD" w:rsidP="004452EA">
            <w:pPr>
              <w:spacing w:after="0"/>
              <w:rPr>
                <w:rFonts w:asciiTheme="minorHAnsi" w:hAnsiTheme="minorHAnsi"/>
              </w:rPr>
            </w:pPr>
            <w:r>
              <w:rPr>
                <w:rFonts w:asciiTheme="minorHAnsi" w:hAnsiTheme="minorHAnsi"/>
              </w:rPr>
              <w:t xml:space="preserve">Again, </w:t>
            </w:r>
            <w:r>
              <w:rPr>
                <w:rFonts w:asciiTheme="minorHAnsi" w:hAnsiTheme="minorHAnsi"/>
                <w:b/>
              </w:rPr>
              <w:t>C</w:t>
            </w:r>
            <w:r w:rsidRPr="00057A58">
              <w:rPr>
                <w:rFonts w:asciiTheme="minorHAnsi" w:hAnsiTheme="minorHAnsi"/>
                <w:b/>
              </w:rPr>
              <w:t xml:space="preserve">ommerce cannot issue reimbursement to </w:t>
            </w:r>
            <w:r w:rsidRPr="00057A58">
              <w:rPr>
                <w:rFonts w:asciiTheme="minorHAnsi" w:hAnsiTheme="minorHAnsi"/>
                <w:b/>
                <w:i/>
              </w:rPr>
              <w:t>any</w:t>
            </w:r>
            <w:r w:rsidRPr="00057A58">
              <w:rPr>
                <w:rFonts w:asciiTheme="minorHAnsi" w:hAnsiTheme="minorHAnsi"/>
                <w:b/>
              </w:rPr>
              <w:t xml:space="preserve"> costs not specifically covered by a judgement issued by a court</w:t>
            </w:r>
            <w:r w:rsidRPr="004001B5">
              <w:rPr>
                <w:rFonts w:asciiTheme="minorHAnsi" w:hAnsiTheme="minorHAnsi"/>
              </w:rPr>
              <w:t>.</w:t>
            </w:r>
            <w:r>
              <w:rPr>
                <w:rFonts w:asciiTheme="minorHAnsi" w:hAnsiTheme="minorHAnsi"/>
              </w:rPr>
              <w:t xml:space="preserve"> While such cleanup costs are not ineligible, they must be supported by a judgement, such as against the estate of the deceased.</w:t>
            </w:r>
          </w:p>
        </w:tc>
      </w:tr>
      <w:tr w:rsidR="00D73BE4" w:rsidTr="0055157A">
        <w:trPr>
          <w:cantSplit/>
        </w:trPr>
        <w:tc>
          <w:tcPr>
            <w:tcW w:w="1471" w:type="dxa"/>
          </w:tcPr>
          <w:p w:rsidR="00D73BE4" w:rsidRPr="004001B5" w:rsidRDefault="00D73BE4" w:rsidP="00D73BE4">
            <w:pPr>
              <w:spacing w:after="0"/>
              <w:rPr>
                <w:rFonts w:asciiTheme="minorHAnsi" w:hAnsiTheme="minorHAnsi"/>
                <w:sz w:val="24"/>
                <w:szCs w:val="24"/>
              </w:rPr>
            </w:pPr>
            <w:r>
              <w:rPr>
                <w:rFonts w:asciiTheme="minorHAnsi" w:hAnsiTheme="minorHAnsi"/>
                <w:sz w:val="24"/>
                <w:szCs w:val="24"/>
              </w:rPr>
              <w:t>Invoicing of Work Performed</w:t>
            </w:r>
          </w:p>
        </w:tc>
        <w:tc>
          <w:tcPr>
            <w:tcW w:w="4454" w:type="dxa"/>
          </w:tcPr>
          <w:p w:rsidR="00D73BE4" w:rsidRDefault="00D73BE4" w:rsidP="00D73BE4">
            <w:pPr>
              <w:spacing w:after="0"/>
              <w:rPr>
                <w:rFonts w:asciiTheme="minorHAnsi" w:hAnsiTheme="minorHAnsi"/>
              </w:rPr>
            </w:pPr>
            <w:r>
              <w:t>…</w:t>
            </w:r>
            <w:r>
              <w:t>we generally have our maintenance workers fix the damage internally inste</w:t>
            </w:r>
            <w:r>
              <w:t>ad of hiring an outside vendor...</w:t>
            </w:r>
            <w:r>
              <w:t xml:space="preserve"> If there is no invoice (as the work was done </w:t>
            </w:r>
            <w:proofErr w:type="gramStart"/>
            <w:r>
              <w:t>internally)</w:t>
            </w:r>
            <w:proofErr w:type="gramEnd"/>
            <w:r>
              <w:t xml:space="preserve"> what should we submit in place of an invoice and proof of payment?</w:t>
            </w:r>
          </w:p>
        </w:tc>
        <w:tc>
          <w:tcPr>
            <w:tcW w:w="5091" w:type="dxa"/>
          </w:tcPr>
          <w:p w:rsidR="00D73BE4" w:rsidRPr="00D73BE4" w:rsidRDefault="00D73BE4" w:rsidP="00AD5FDE">
            <w:pPr>
              <w:spacing w:after="0" w:line="240" w:lineRule="auto"/>
              <w:rPr>
                <w:rFonts w:eastAsiaTheme="minorHAnsi"/>
              </w:rPr>
            </w:pPr>
            <w:r w:rsidRPr="00D73BE4">
              <w:rPr>
                <w:rFonts w:eastAsiaTheme="minorHAnsi"/>
              </w:rPr>
              <w:t xml:space="preserve">Commerce would require </w:t>
            </w:r>
            <w:r w:rsidRPr="00D73BE4">
              <w:rPr>
                <w:rFonts w:eastAsiaTheme="minorHAnsi"/>
                <w:i/>
              </w:rPr>
              <w:t>at the least</w:t>
            </w:r>
            <w:r w:rsidRPr="00D73BE4">
              <w:rPr>
                <w:rFonts w:eastAsiaTheme="minorHAnsi"/>
              </w:rPr>
              <w:t xml:space="preserve"> some evidence of </w:t>
            </w:r>
            <w:r w:rsidRPr="00D73BE4">
              <w:rPr>
                <w:rFonts w:eastAsiaTheme="minorHAnsi"/>
              </w:rPr>
              <w:t xml:space="preserve">an </w:t>
            </w:r>
            <w:r w:rsidRPr="00D73BE4">
              <w:rPr>
                <w:rFonts w:eastAsiaTheme="minorHAnsi"/>
              </w:rPr>
              <w:t>internal f</w:t>
            </w:r>
            <w:r w:rsidRPr="00D73BE4">
              <w:rPr>
                <w:rFonts w:eastAsiaTheme="minorHAnsi"/>
              </w:rPr>
              <w:t>unds transfer. That is, however a landlord/management company’s</w:t>
            </w:r>
            <w:r w:rsidRPr="00D73BE4">
              <w:rPr>
                <w:rFonts w:eastAsiaTheme="minorHAnsi"/>
              </w:rPr>
              <w:t xml:space="preserve"> internal </w:t>
            </w:r>
            <w:r w:rsidRPr="00D73BE4">
              <w:rPr>
                <w:rFonts w:eastAsiaTheme="minorHAnsi"/>
              </w:rPr>
              <w:t>maintenance workers</w:t>
            </w:r>
            <w:r w:rsidRPr="00D73BE4">
              <w:rPr>
                <w:rFonts w:eastAsiaTheme="minorHAnsi"/>
              </w:rPr>
              <w:t xml:space="preserve"> charge Payroll/Accounting to show that they</w:t>
            </w:r>
            <w:r w:rsidR="00AD5FDE">
              <w:rPr>
                <w:rFonts w:eastAsiaTheme="minorHAnsi"/>
              </w:rPr>
              <w:t xml:space="preserve"> have</w:t>
            </w:r>
            <w:r w:rsidRPr="00D73BE4">
              <w:rPr>
                <w:rFonts w:eastAsiaTheme="minorHAnsi"/>
              </w:rPr>
              <w:t xml:space="preserve"> a.) </w:t>
            </w:r>
            <w:proofErr w:type="gramStart"/>
            <w:r w:rsidRPr="00D73BE4">
              <w:rPr>
                <w:rFonts w:eastAsiaTheme="minorHAnsi"/>
              </w:rPr>
              <w:t>purchased</w:t>
            </w:r>
            <w:proofErr w:type="gramEnd"/>
            <w:r w:rsidRPr="00D73BE4">
              <w:rPr>
                <w:rFonts w:eastAsiaTheme="minorHAnsi"/>
              </w:rPr>
              <w:t xml:space="preserve"> materials and b.) </w:t>
            </w:r>
            <w:proofErr w:type="gramStart"/>
            <w:r w:rsidRPr="00D73BE4">
              <w:rPr>
                <w:rFonts w:eastAsiaTheme="minorHAnsi"/>
              </w:rPr>
              <w:t>performed</w:t>
            </w:r>
            <w:proofErr w:type="gramEnd"/>
            <w:r w:rsidRPr="00D73BE4">
              <w:rPr>
                <w:rFonts w:eastAsiaTheme="minorHAnsi"/>
              </w:rPr>
              <w:t xml:space="preserve"> the work. </w:t>
            </w:r>
            <w:r>
              <w:rPr>
                <w:rFonts w:eastAsiaTheme="minorHAnsi"/>
              </w:rPr>
              <w:t>We cannot issue reimbursement for non-itemized costs.</w:t>
            </w:r>
          </w:p>
        </w:tc>
      </w:tr>
      <w:tr w:rsidR="00D73BE4" w:rsidTr="0055157A">
        <w:trPr>
          <w:cantSplit/>
        </w:trPr>
        <w:tc>
          <w:tcPr>
            <w:tcW w:w="1471" w:type="dxa"/>
          </w:tcPr>
          <w:p w:rsidR="00D73BE4" w:rsidRPr="004001B5" w:rsidRDefault="003343A6" w:rsidP="003343A6">
            <w:pPr>
              <w:spacing w:after="0"/>
              <w:rPr>
                <w:rFonts w:asciiTheme="minorHAnsi" w:hAnsiTheme="minorHAnsi"/>
                <w:sz w:val="24"/>
                <w:szCs w:val="24"/>
              </w:rPr>
            </w:pPr>
            <w:r>
              <w:rPr>
                <w:rFonts w:asciiTheme="minorHAnsi" w:hAnsiTheme="minorHAnsi"/>
                <w:sz w:val="24"/>
                <w:szCs w:val="24"/>
              </w:rPr>
              <w:lastRenderedPageBreak/>
              <w:t>Cost</w:t>
            </w:r>
            <w:r>
              <w:rPr>
                <w:rFonts w:asciiTheme="minorHAnsi" w:hAnsiTheme="minorHAnsi"/>
                <w:sz w:val="24"/>
                <w:szCs w:val="24"/>
              </w:rPr>
              <w:t xml:space="preserve"> Eligibility</w:t>
            </w:r>
          </w:p>
        </w:tc>
        <w:tc>
          <w:tcPr>
            <w:tcW w:w="4454" w:type="dxa"/>
          </w:tcPr>
          <w:p w:rsidR="00D73BE4" w:rsidRDefault="003343A6" w:rsidP="0012071B">
            <w:pPr>
              <w:spacing w:after="0"/>
              <w:rPr>
                <w:rFonts w:asciiTheme="minorHAnsi" w:hAnsiTheme="minorHAnsi"/>
              </w:rPr>
            </w:pPr>
            <w:proofErr w:type="gramStart"/>
            <w:r>
              <w:t>Are any specific damages excluded</w:t>
            </w:r>
            <w:proofErr w:type="gramEnd"/>
            <w:r>
              <w:t xml:space="preserve"> from this provision?</w:t>
            </w:r>
          </w:p>
        </w:tc>
        <w:tc>
          <w:tcPr>
            <w:tcW w:w="5091" w:type="dxa"/>
          </w:tcPr>
          <w:p w:rsidR="00D73BE4" w:rsidRPr="003343A6" w:rsidRDefault="003343A6" w:rsidP="003343A6">
            <w:pPr>
              <w:rPr>
                <w:b/>
                <w:color w:val="008000"/>
              </w:rPr>
            </w:pPr>
            <w:r w:rsidRPr="003343A6">
              <w:rPr>
                <w:iCs/>
              </w:rPr>
              <w:t xml:space="preserve">While </w:t>
            </w:r>
            <w:r>
              <w:rPr>
                <w:iCs/>
              </w:rPr>
              <w:t>Commerce</w:t>
            </w:r>
            <w:r w:rsidRPr="003343A6">
              <w:rPr>
                <w:iCs/>
              </w:rPr>
              <w:t xml:space="preserve"> would reserve the right </w:t>
            </w:r>
            <w:proofErr w:type="gramStart"/>
            <w:r w:rsidRPr="003343A6">
              <w:rPr>
                <w:iCs/>
              </w:rPr>
              <w:t>to not reimburse</w:t>
            </w:r>
            <w:proofErr w:type="gramEnd"/>
            <w:r w:rsidRPr="003343A6">
              <w:rPr>
                <w:iCs/>
              </w:rPr>
              <w:t xml:space="preserve"> any particular cost </w:t>
            </w:r>
            <w:proofErr w:type="spellStart"/>
            <w:r w:rsidRPr="003343A6">
              <w:rPr>
                <w:iCs/>
              </w:rPr>
              <w:t>if</w:t>
            </w:r>
            <w:proofErr w:type="spellEnd"/>
            <w:r w:rsidRPr="003343A6">
              <w:rPr>
                <w:iCs/>
              </w:rPr>
              <w:t xml:space="preserve"> doing so conflicts with other Commerce regulations, if a cost is listed in the judgement then it</w:t>
            </w:r>
            <w:r>
              <w:rPr>
                <w:iCs/>
              </w:rPr>
              <w:t xml:space="preserve"> i</w:t>
            </w:r>
            <w:r w:rsidRPr="003343A6">
              <w:rPr>
                <w:iCs/>
              </w:rPr>
              <w:t>s generally eligible for reimbursement</w:t>
            </w:r>
            <w:r w:rsidRPr="003343A6">
              <w:rPr>
                <w:iCs/>
              </w:rPr>
              <w:t>.</w:t>
            </w:r>
            <w:r>
              <w:rPr>
                <w:iCs/>
              </w:rPr>
              <w:t xml:space="preserve"> </w:t>
            </w:r>
            <w:r>
              <w:rPr>
                <w:b/>
                <w:iCs/>
              </w:rPr>
              <w:t>This includes the cost of the Judgement itself, provided it is included in the Judgement as a legal fee.</w:t>
            </w:r>
          </w:p>
        </w:tc>
      </w:tr>
      <w:tr w:rsidR="00D73BE4" w:rsidTr="0055157A">
        <w:trPr>
          <w:cantSplit/>
        </w:trPr>
        <w:tc>
          <w:tcPr>
            <w:tcW w:w="1471" w:type="dxa"/>
          </w:tcPr>
          <w:p w:rsidR="00D73BE4" w:rsidRPr="004001B5" w:rsidRDefault="00D73BE4" w:rsidP="00126758">
            <w:pPr>
              <w:spacing w:after="0"/>
              <w:rPr>
                <w:rFonts w:asciiTheme="minorHAnsi" w:hAnsiTheme="minorHAnsi"/>
                <w:sz w:val="24"/>
                <w:szCs w:val="24"/>
              </w:rPr>
            </w:pPr>
          </w:p>
        </w:tc>
        <w:tc>
          <w:tcPr>
            <w:tcW w:w="4454" w:type="dxa"/>
          </w:tcPr>
          <w:p w:rsidR="00D73BE4" w:rsidRDefault="00D73BE4" w:rsidP="0012071B">
            <w:pPr>
              <w:spacing w:after="0"/>
              <w:rPr>
                <w:rFonts w:asciiTheme="minorHAnsi" w:hAnsiTheme="minorHAnsi"/>
              </w:rPr>
            </w:pPr>
          </w:p>
        </w:tc>
        <w:tc>
          <w:tcPr>
            <w:tcW w:w="5091" w:type="dxa"/>
          </w:tcPr>
          <w:p w:rsidR="00D73BE4" w:rsidRDefault="00D73BE4" w:rsidP="004452EA">
            <w:pPr>
              <w:spacing w:after="0"/>
              <w:rPr>
                <w:rFonts w:asciiTheme="minorHAnsi" w:hAnsiTheme="minorHAnsi"/>
              </w:rPr>
            </w:pPr>
          </w:p>
        </w:tc>
      </w:tr>
    </w:tbl>
    <w:p w:rsidR="006D5D37" w:rsidRDefault="006D5D37" w:rsidP="00126758">
      <w:pPr>
        <w:spacing w:after="0"/>
        <w:rPr>
          <w:rFonts w:asciiTheme="minorHAnsi" w:hAnsiTheme="minorHAnsi"/>
          <w:b/>
          <w:sz w:val="24"/>
          <w:szCs w:val="24"/>
        </w:rPr>
      </w:pPr>
    </w:p>
    <w:p w:rsidR="004001B5" w:rsidRDefault="004001B5" w:rsidP="00126758">
      <w:pPr>
        <w:spacing w:after="0"/>
        <w:rPr>
          <w:rFonts w:asciiTheme="minorHAnsi" w:hAnsiTheme="minorHAnsi"/>
          <w:b/>
          <w:sz w:val="24"/>
          <w:szCs w:val="24"/>
        </w:rPr>
      </w:pPr>
    </w:p>
    <w:sectPr w:rsidR="004001B5" w:rsidSect="005C6094">
      <w:footerReference w:type="default" r:id="rId14"/>
      <w:headerReference w:type="first" r:id="rId15"/>
      <w:footerReference w:type="first" r:id="rId16"/>
      <w:pgSz w:w="12240" w:h="15840" w:code="1"/>
      <w:pgMar w:top="720" w:right="720" w:bottom="990" w:left="720" w:header="450" w:footer="0" w:gutter="0"/>
      <w:paperSrc w:first="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238" w:rsidRDefault="00454238">
      <w:r>
        <w:separator/>
      </w:r>
    </w:p>
  </w:endnote>
  <w:endnote w:type="continuationSeparator" w:id="0">
    <w:p w:rsidR="00454238" w:rsidRDefault="0045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478271"/>
      <w:docPartObj>
        <w:docPartGallery w:val="Page Numbers (Bottom of Page)"/>
        <w:docPartUnique/>
      </w:docPartObj>
    </w:sdtPr>
    <w:sdtEndPr/>
    <w:sdtContent>
      <w:sdt>
        <w:sdtPr>
          <w:id w:val="-1618595898"/>
          <w:docPartObj>
            <w:docPartGallery w:val="Page Numbers (Top of Page)"/>
            <w:docPartUnique/>
          </w:docPartObj>
        </w:sdtPr>
        <w:sdtEndPr/>
        <w:sdtContent>
          <w:p w:rsidR="005C6094" w:rsidRDefault="005C6094" w:rsidP="005C60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198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1985">
              <w:rPr>
                <w:b/>
                <w:bCs/>
                <w:noProof/>
              </w:rPr>
              <w:t>3</w:t>
            </w:r>
            <w:r>
              <w:rPr>
                <w:b/>
                <w:bCs/>
                <w:sz w:val="24"/>
                <w:szCs w:val="24"/>
              </w:rPr>
              <w:fldChar w:fldCharType="end"/>
            </w:r>
          </w:p>
          <w:p w:rsidR="005C6094" w:rsidRDefault="00D11985" w:rsidP="005C6094">
            <w:pPr>
              <w:pStyle w:val="Footer"/>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844838"/>
      <w:docPartObj>
        <w:docPartGallery w:val="Page Numbers (Bottom of Page)"/>
        <w:docPartUnique/>
      </w:docPartObj>
    </w:sdtPr>
    <w:sdtEndPr/>
    <w:sdtContent>
      <w:sdt>
        <w:sdtPr>
          <w:id w:val="-1192994614"/>
          <w:docPartObj>
            <w:docPartGallery w:val="Page Numbers (Top of Page)"/>
            <w:docPartUnique/>
          </w:docPartObj>
        </w:sdtPr>
        <w:sdtEndPr/>
        <w:sdtContent>
          <w:p w:rsidR="005C6094" w:rsidRDefault="005C6094" w:rsidP="005C60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19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1985">
              <w:rPr>
                <w:b/>
                <w:bCs/>
                <w:noProof/>
              </w:rPr>
              <w:t>3</w:t>
            </w:r>
            <w:r>
              <w:rPr>
                <w:b/>
                <w:bCs/>
                <w:sz w:val="24"/>
                <w:szCs w:val="24"/>
              </w:rPr>
              <w:fldChar w:fldCharType="end"/>
            </w:r>
          </w:p>
        </w:sdtContent>
      </w:sdt>
    </w:sdtContent>
  </w:sdt>
  <w:p w:rsidR="005C6094" w:rsidRDefault="005C6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238" w:rsidRDefault="00454238">
      <w:r>
        <w:separator/>
      </w:r>
    </w:p>
  </w:footnote>
  <w:footnote w:type="continuationSeparator" w:id="0">
    <w:p w:rsidR="00454238" w:rsidRDefault="0045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6A" w:rsidRPr="00D46C89" w:rsidRDefault="00D46C89" w:rsidP="00D46C89">
    <w:pPr>
      <w:pStyle w:val="Header"/>
      <w:jc w:val="center"/>
    </w:pPr>
    <w:r>
      <w:rPr>
        <w:rFonts w:ascii="Raleway" w:hAnsi="Raleway" w:cs="Arial"/>
        <w:noProof/>
        <w:color w:val="666666"/>
        <w:sz w:val="21"/>
        <w:szCs w:val="21"/>
      </w:rPr>
      <w:drawing>
        <wp:inline distT="0" distB="0" distL="0" distR="0" wp14:anchorId="4DBB72C2" wp14:editId="2B2E6A8C">
          <wp:extent cx="3174365" cy="466090"/>
          <wp:effectExtent l="0" t="0" r="0" b="0"/>
          <wp:docPr id="3" name="Picture 3" descr="Washington State Department of Commer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hington State Department of Commer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4365"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405"/>
    <w:multiLevelType w:val="hybridMultilevel"/>
    <w:tmpl w:val="4F2E2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17447"/>
    <w:multiLevelType w:val="hybridMultilevel"/>
    <w:tmpl w:val="26A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F7122"/>
    <w:multiLevelType w:val="hybridMultilevel"/>
    <w:tmpl w:val="07DE1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A4902"/>
    <w:multiLevelType w:val="hybridMultilevel"/>
    <w:tmpl w:val="40E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83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E77693"/>
    <w:multiLevelType w:val="hybridMultilevel"/>
    <w:tmpl w:val="F4C0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90FEA"/>
    <w:multiLevelType w:val="multilevel"/>
    <w:tmpl w:val="56BCC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2F2191"/>
    <w:multiLevelType w:val="hybridMultilevel"/>
    <w:tmpl w:val="2F1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47528"/>
    <w:multiLevelType w:val="hybridMultilevel"/>
    <w:tmpl w:val="E788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A42B2"/>
    <w:multiLevelType w:val="hybridMultilevel"/>
    <w:tmpl w:val="758AB506"/>
    <w:lvl w:ilvl="0" w:tplc="617085BC">
      <w:start w:val="1"/>
      <w:numFmt w:val="bullet"/>
      <w:lvlRestart w:val="0"/>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97705"/>
    <w:multiLevelType w:val="hybridMultilevel"/>
    <w:tmpl w:val="B1DCD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17B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F27F1C"/>
    <w:multiLevelType w:val="hybridMultilevel"/>
    <w:tmpl w:val="54D2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A1F6D"/>
    <w:multiLevelType w:val="hybridMultilevel"/>
    <w:tmpl w:val="8836F7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D80582"/>
    <w:multiLevelType w:val="hybridMultilevel"/>
    <w:tmpl w:val="DEC0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F4751"/>
    <w:multiLevelType w:val="hybridMultilevel"/>
    <w:tmpl w:val="60B0D2F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15:restartNumberingAfterBreak="0">
    <w:nsid w:val="77EF5B6B"/>
    <w:multiLevelType w:val="hybridMultilevel"/>
    <w:tmpl w:val="4044E02E"/>
    <w:lvl w:ilvl="0" w:tplc="617085BC">
      <w:start w:val="1"/>
      <w:numFmt w:val="bullet"/>
      <w:lvlRestart w:val="0"/>
      <w:lvlText w:val=""/>
      <w:lvlJc w:val="left"/>
      <w:pPr>
        <w:tabs>
          <w:tab w:val="num" w:pos="720"/>
        </w:tabs>
        <w:ind w:left="720" w:hanging="360"/>
      </w:pPr>
      <w:rPr>
        <w:rFonts w:ascii="Symbol" w:hAnsi="Symbol" w:hint="default"/>
        <w:sz w:val="16"/>
      </w:rPr>
    </w:lvl>
    <w:lvl w:ilvl="1" w:tplc="04DE09D2">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6"/>
  </w:num>
  <w:num w:numId="4">
    <w:abstractNumId w:val="3"/>
  </w:num>
  <w:num w:numId="5">
    <w:abstractNumId w:val="7"/>
  </w:num>
  <w:num w:numId="6">
    <w:abstractNumId w:val="10"/>
  </w:num>
  <w:num w:numId="7">
    <w:abstractNumId w:val="4"/>
  </w:num>
  <w:num w:numId="8">
    <w:abstractNumId w:val="11"/>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2"/>
  </w:num>
  <w:num w:numId="13">
    <w:abstractNumId w:val="5"/>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08"/>
    <w:rsid w:val="00000C7F"/>
    <w:rsid w:val="00001464"/>
    <w:rsid w:val="000060A1"/>
    <w:rsid w:val="00054687"/>
    <w:rsid w:val="00057A58"/>
    <w:rsid w:val="000B1A76"/>
    <w:rsid w:val="000B40B0"/>
    <w:rsid w:val="000C6F5F"/>
    <w:rsid w:val="000E0D8F"/>
    <w:rsid w:val="000E682A"/>
    <w:rsid w:val="000F6B22"/>
    <w:rsid w:val="00101039"/>
    <w:rsid w:val="0012071B"/>
    <w:rsid w:val="00120802"/>
    <w:rsid w:val="001249E3"/>
    <w:rsid w:val="001250B3"/>
    <w:rsid w:val="00126758"/>
    <w:rsid w:val="00134489"/>
    <w:rsid w:val="00135DE2"/>
    <w:rsid w:val="00150855"/>
    <w:rsid w:val="0018592E"/>
    <w:rsid w:val="001A0D92"/>
    <w:rsid w:val="001B57EE"/>
    <w:rsid w:val="001F1022"/>
    <w:rsid w:val="001F139D"/>
    <w:rsid w:val="00217CE8"/>
    <w:rsid w:val="00242DE0"/>
    <w:rsid w:val="002505CE"/>
    <w:rsid w:val="002643DD"/>
    <w:rsid w:val="002F7013"/>
    <w:rsid w:val="00313543"/>
    <w:rsid w:val="003343A6"/>
    <w:rsid w:val="00357626"/>
    <w:rsid w:val="003C2703"/>
    <w:rsid w:val="003F378E"/>
    <w:rsid w:val="004001B5"/>
    <w:rsid w:val="00400BE8"/>
    <w:rsid w:val="00401515"/>
    <w:rsid w:val="004032BB"/>
    <w:rsid w:val="00435F48"/>
    <w:rsid w:val="004452EA"/>
    <w:rsid w:val="00454238"/>
    <w:rsid w:val="00482990"/>
    <w:rsid w:val="004C71A7"/>
    <w:rsid w:val="004E1DCB"/>
    <w:rsid w:val="00512119"/>
    <w:rsid w:val="00540DD4"/>
    <w:rsid w:val="00541180"/>
    <w:rsid w:val="0055157A"/>
    <w:rsid w:val="005A1EE3"/>
    <w:rsid w:val="005A7032"/>
    <w:rsid w:val="005B5506"/>
    <w:rsid w:val="005C6094"/>
    <w:rsid w:val="005E6A08"/>
    <w:rsid w:val="005F0522"/>
    <w:rsid w:val="00630A1C"/>
    <w:rsid w:val="006408EE"/>
    <w:rsid w:val="00691EE1"/>
    <w:rsid w:val="006D5D37"/>
    <w:rsid w:val="007318D7"/>
    <w:rsid w:val="0075374C"/>
    <w:rsid w:val="0077480C"/>
    <w:rsid w:val="00783289"/>
    <w:rsid w:val="00785E32"/>
    <w:rsid w:val="007A797E"/>
    <w:rsid w:val="007C0720"/>
    <w:rsid w:val="007C7A1A"/>
    <w:rsid w:val="007D41E8"/>
    <w:rsid w:val="00827A87"/>
    <w:rsid w:val="00874F8B"/>
    <w:rsid w:val="008B083F"/>
    <w:rsid w:val="008C4704"/>
    <w:rsid w:val="008E3A66"/>
    <w:rsid w:val="008F0B09"/>
    <w:rsid w:val="00927A34"/>
    <w:rsid w:val="0093549D"/>
    <w:rsid w:val="00935FBA"/>
    <w:rsid w:val="00974BD5"/>
    <w:rsid w:val="009E1791"/>
    <w:rsid w:val="00A07733"/>
    <w:rsid w:val="00A51573"/>
    <w:rsid w:val="00A55A70"/>
    <w:rsid w:val="00AC45D3"/>
    <w:rsid w:val="00AD5FDE"/>
    <w:rsid w:val="00BA053B"/>
    <w:rsid w:val="00BA3E7B"/>
    <w:rsid w:val="00BA4077"/>
    <w:rsid w:val="00BC3E0B"/>
    <w:rsid w:val="00BE60E3"/>
    <w:rsid w:val="00C3122F"/>
    <w:rsid w:val="00C66ECE"/>
    <w:rsid w:val="00CC422D"/>
    <w:rsid w:val="00CC4776"/>
    <w:rsid w:val="00CE1206"/>
    <w:rsid w:val="00D072A9"/>
    <w:rsid w:val="00D11985"/>
    <w:rsid w:val="00D46C89"/>
    <w:rsid w:val="00D54C2B"/>
    <w:rsid w:val="00D70AD1"/>
    <w:rsid w:val="00D73BE4"/>
    <w:rsid w:val="00DA3FE3"/>
    <w:rsid w:val="00DA5F0D"/>
    <w:rsid w:val="00DB0985"/>
    <w:rsid w:val="00DB356A"/>
    <w:rsid w:val="00DB3631"/>
    <w:rsid w:val="00DD0A38"/>
    <w:rsid w:val="00DD75EB"/>
    <w:rsid w:val="00DF576C"/>
    <w:rsid w:val="00E61D0C"/>
    <w:rsid w:val="00E90D99"/>
    <w:rsid w:val="00EA3D54"/>
    <w:rsid w:val="00EC2BF8"/>
    <w:rsid w:val="00F14059"/>
    <w:rsid w:val="00F47B25"/>
    <w:rsid w:val="00F50D9A"/>
    <w:rsid w:val="00F56066"/>
    <w:rsid w:val="00F80623"/>
    <w:rsid w:val="00F844EA"/>
    <w:rsid w:val="00F943D6"/>
    <w:rsid w:val="00FA2CFC"/>
    <w:rsid w:val="00FD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DFAB360"/>
  <w15:docId w15:val="{6179441F-5762-4189-B147-91E16DF1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EB"/>
    <w:pPr>
      <w:spacing w:after="200" w:line="276" w:lineRule="auto"/>
    </w:pPr>
    <w:rPr>
      <w:rFonts w:ascii="Calibri" w:eastAsia="Calibri" w:hAnsi="Calibri"/>
      <w:sz w:val="22"/>
      <w:szCs w:val="22"/>
    </w:rPr>
  </w:style>
  <w:style w:type="paragraph" w:styleId="Heading1">
    <w:name w:val="heading 1"/>
    <w:basedOn w:val="Normal"/>
    <w:next w:val="Normal"/>
    <w:qFormat/>
    <w:rsid w:val="00DD75EB"/>
    <w:pPr>
      <w:keepNext/>
      <w:jc w:val="center"/>
      <w:outlineLvl w:val="0"/>
    </w:pPr>
    <w:rPr>
      <w:b/>
      <w:bCs/>
      <w:color w:val="008000"/>
      <w:sz w:val="18"/>
      <w:szCs w:val="24"/>
    </w:rPr>
  </w:style>
  <w:style w:type="paragraph" w:styleId="Heading2">
    <w:name w:val="heading 2"/>
    <w:basedOn w:val="Normal"/>
    <w:next w:val="Normal"/>
    <w:qFormat/>
    <w:rsid w:val="00DD75EB"/>
    <w:pPr>
      <w:keepNext/>
      <w:jc w:val="center"/>
      <w:outlineLvl w:val="1"/>
    </w:pPr>
    <w:rPr>
      <w:rFonts w:ascii="Arial Unicode MS" w:hAnsi="Arial Unicode MS" w:cs="Lucida Sans Unicode"/>
      <w:color w:val="008000"/>
      <w:sz w:val="28"/>
      <w:szCs w:val="24"/>
    </w:rPr>
  </w:style>
  <w:style w:type="paragraph" w:styleId="Heading3">
    <w:name w:val="heading 3"/>
    <w:basedOn w:val="Normal"/>
    <w:next w:val="Normal"/>
    <w:qFormat/>
    <w:rsid w:val="00DD75EB"/>
    <w:pPr>
      <w:keepNext/>
      <w:jc w:val="center"/>
      <w:outlineLvl w:val="2"/>
    </w:pPr>
    <w:rPr>
      <w:rFonts w:ascii="Lucida Sans Unicode" w:hAnsi="Lucida Sans Unicode" w:cs="Arial Unicode MS"/>
      <w:b/>
      <w:bCs/>
      <w:color w:val="008000"/>
      <w:sz w:val="16"/>
      <w:szCs w:val="24"/>
    </w:rPr>
  </w:style>
  <w:style w:type="paragraph" w:styleId="Heading4">
    <w:name w:val="heading 4"/>
    <w:basedOn w:val="Normal"/>
    <w:next w:val="Normal"/>
    <w:qFormat/>
    <w:rsid w:val="00DD75EB"/>
    <w:pPr>
      <w:keepNext/>
      <w:outlineLvl w:val="3"/>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75EB"/>
    <w:pPr>
      <w:tabs>
        <w:tab w:val="center" w:pos="4320"/>
        <w:tab w:val="right" w:pos="8640"/>
      </w:tabs>
    </w:pPr>
    <w:rPr>
      <w:szCs w:val="24"/>
    </w:rPr>
  </w:style>
  <w:style w:type="paragraph" w:styleId="BodyText">
    <w:name w:val="Body Text"/>
    <w:basedOn w:val="Normal"/>
    <w:rsid w:val="00DD75EB"/>
    <w:rPr>
      <w:bCs/>
      <w:i/>
      <w:iCs/>
    </w:rPr>
  </w:style>
  <w:style w:type="paragraph" w:styleId="Footer">
    <w:name w:val="footer"/>
    <w:basedOn w:val="Normal"/>
    <w:link w:val="FooterChar"/>
    <w:uiPriority w:val="99"/>
    <w:rsid w:val="00DD75EB"/>
    <w:pPr>
      <w:tabs>
        <w:tab w:val="center" w:pos="4320"/>
        <w:tab w:val="right" w:pos="8640"/>
      </w:tabs>
    </w:pPr>
  </w:style>
  <w:style w:type="character" w:styleId="FollowedHyperlink">
    <w:name w:val="FollowedHyperlink"/>
    <w:rsid w:val="00DD75EB"/>
    <w:rPr>
      <w:color w:val="800080"/>
      <w:u w:val="single"/>
    </w:rPr>
  </w:style>
  <w:style w:type="paragraph" w:styleId="ListParagraph">
    <w:name w:val="List Paragraph"/>
    <w:basedOn w:val="Normal"/>
    <w:uiPriority w:val="34"/>
    <w:qFormat/>
    <w:rsid w:val="00DD75EB"/>
    <w:pPr>
      <w:ind w:left="720"/>
      <w:contextualSpacing/>
    </w:pPr>
  </w:style>
  <w:style w:type="character" w:styleId="Hyperlink">
    <w:name w:val="Hyperlink"/>
    <w:rsid w:val="00DD75EB"/>
    <w:rPr>
      <w:color w:val="006633"/>
      <w:u w:val="single"/>
    </w:rPr>
  </w:style>
  <w:style w:type="paragraph" w:styleId="NoSpacing">
    <w:name w:val="No Spacing"/>
    <w:uiPriority w:val="1"/>
    <w:qFormat/>
    <w:rsid w:val="00DD75EB"/>
    <w:rPr>
      <w:rFonts w:ascii="Calibri" w:eastAsia="Calibri" w:hAnsi="Calibri"/>
      <w:sz w:val="22"/>
      <w:szCs w:val="22"/>
    </w:rPr>
  </w:style>
  <w:style w:type="paragraph" w:customStyle="1" w:styleId="style15">
    <w:name w:val="style15"/>
    <w:basedOn w:val="Normal"/>
    <w:rsid w:val="00DD75EB"/>
    <w:pPr>
      <w:spacing w:before="100" w:beforeAutospacing="1" w:after="100" w:afterAutospacing="1" w:line="240" w:lineRule="auto"/>
    </w:pPr>
    <w:rPr>
      <w:rFonts w:ascii="Verdana" w:eastAsia="Times New Roman" w:hAnsi="Verdana"/>
      <w:color w:val="000000"/>
      <w:sz w:val="18"/>
      <w:szCs w:val="18"/>
    </w:rPr>
  </w:style>
  <w:style w:type="paragraph" w:styleId="NormalWeb">
    <w:name w:val="Normal (Web)"/>
    <w:basedOn w:val="Normal"/>
    <w:uiPriority w:val="99"/>
    <w:unhideWhenUsed/>
    <w:rsid w:val="00DD75EB"/>
    <w:pPr>
      <w:spacing w:before="100" w:beforeAutospacing="1" w:after="100" w:afterAutospacing="1" w:line="240" w:lineRule="auto"/>
    </w:pPr>
    <w:rPr>
      <w:rFonts w:ascii="Times New Roman" w:eastAsia="Times New Roman" w:hAnsi="Times New Roman"/>
      <w:sz w:val="24"/>
      <w:szCs w:val="24"/>
    </w:rPr>
  </w:style>
  <w:style w:type="character" w:customStyle="1" w:styleId="HeaderChar">
    <w:name w:val="Header Char"/>
    <w:link w:val="Header"/>
    <w:uiPriority w:val="99"/>
    <w:rsid w:val="00313543"/>
    <w:rPr>
      <w:rFonts w:ascii="Calibri" w:eastAsia="Calibri" w:hAnsi="Calibri"/>
      <w:sz w:val="22"/>
      <w:szCs w:val="24"/>
    </w:rPr>
  </w:style>
  <w:style w:type="paragraph" w:styleId="BalloonText">
    <w:name w:val="Balloon Text"/>
    <w:basedOn w:val="Normal"/>
    <w:link w:val="BalloonTextChar"/>
    <w:rsid w:val="00313543"/>
    <w:pPr>
      <w:spacing w:after="0" w:line="240" w:lineRule="auto"/>
    </w:pPr>
    <w:rPr>
      <w:rFonts w:ascii="Tahoma" w:hAnsi="Tahoma" w:cs="Tahoma"/>
      <w:sz w:val="16"/>
      <w:szCs w:val="16"/>
    </w:rPr>
  </w:style>
  <w:style w:type="character" w:customStyle="1" w:styleId="BalloonTextChar">
    <w:name w:val="Balloon Text Char"/>
    <w:link w:val="BalloonText"/>
    <w:rsid w:val="00313543"/>
    <w:rPr>
      <w:rFonts w:ascii="Tahoma" w:eastAsia="Calibri" w:hAnsi="Tahoma" w:cs="Tahoma"/>
      <w:sz w:val="16"/>
      <w:szCs w:val="16"/>
    </w:rPr>
  </w:style>
  <w:style w:type="table" w:styleId="TableGrid">
    <w:name w:val="Table Grid"/>
    <w:basedOn w:val="TableNormal"/>
    <w:rsid w:val="00691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691EE1"/>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rsid w:val="00C66ECE"/>
    <w:rPr>
      <w:sz w:val="16"/>
      <w:szCs w:val="16"/>
    </w:rPr>
  </w:style>
  <w:style w:type="paragraph" w:styleId="CommentText">
    <w:name w:val="annotation text"/>
    <w:basedOn w:val="Normal"/>
    <w:link w:val="CommentTextChar"/>
    <w:rsid w:val="00C66ECE"/>
    <w:pPr>
      <w:spacing w:line="240" w:lineRule="auto"/>
    </w:pPr>
    <w:rPr>
      <w:sz w:val="20"/>
      <w:szCs w:val="20"/>
    </w:rPr>
  </w:style>
  <w:style w:type="character" w:customStyle="1" w:styleId="CommentTextChar">
    <w:name w:val="Comment Text Char"/>
    <w:basedOn w:val="DefaultParagraphFont"/>
    <w:link w:val="CommentText"/>
    <w:rsid w:val="00C66ECE"/>
    <w:rPr>
      <w:rFonts w:ascii="Calibri" w:eastAsia="Calibri" w:hAnsi="Calibri"/>
    </w:rPr>
  </w:style>
  <w:style w:type="paragraph" w:styleId="CommentSubject">
    <w:name w:val="annotation subject"/>
    <w:basedOn w:val="CommentText"/>
    <w:next w:val="CommentText"/>
    <w:link w:val="CommentSubjectChar"/>
    <w:rsid w:val="00C66ECE"/>
    <w:rPr>
      <w:b/>
      <w:bCs/>
    </w:rPr>
  </w:style>
  <w:style w:type="character" w:customStyle="1" w:styleId="CommentSubjectChar">
    <w:name w:val="Comment Subject Char"/>
    <w:basedOn w:val="CommentTextChar"/>
    <w:link w:val="CommentSubject"/>
    <w:rsid w:val="00C66ECE"/>
    <w:rPr>
      <w:rFonts w:ascii="Calibri" w:eastAsia="Calibri" w:hAnsi="Calibri"/>
      <w:b/>
      <w:bCs/>
    </w:rPr>
  </w:style>
  <w:style w:type="character" w:customStyle="1" w:styleId="FooterChar">
    <w:name w:val="Footer Char"/>
    <w:basedOn w:val="DefaultParagraphFont"/>
    <w:link w:val="Footer"/>
    <w:uiPriority w:val="99"/>
    <w:rsid w:val="005C609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0957">
      <w:bodyDiv w:val="1"/>
      <w:marLeft w:val="0"/>
      <w:marRight w:val="0"/>
      <w:marTop w:val="0"/>
      <w:marBottom w:val="0"/>
      <w:divBdr>
        <w:top w:val="none" w:sz="0" w:space="0" w:color="auto"/>
        <w:left w:val="none" w:sz="0" w:space="0" w:color="auto"/>
        <w:bottom w:val="none" w:sz="0" w:space="0" w:color="auto"/>
        <w:right w:val="none" w:sz="0" w:space="0" w:color="auto"/>
      </w:divBdr>
    </w:div>
    <w:div w:id="460466470">
      <w:bodyDiv w:val="1"/>
      <w:marLeft w:val="0"/>
      <w:marRight w:val="0"/>
      <w:marTop w:val="0"/>
      <w:marBottom w:val="0"/>
      <w:divBdr>
        <w:top w:val="none" w:sz="0" w:space="0" w:color="auto"/>
        <w:left w:val="none" w:sz="0" w:space="0" w:color="auto"/>
        <w:bottom w:val="none" w:sz="0" w:space="0" w:color="auto"/>
        <w:right w:val="none" w:sz="0" w:space="0" w:color="auto"/>
      </w:divBdr>
    </w:div>
    <w:div w:id="694158360">
      <w:bodyDiv w:val="1"/>
      <w:marLeft w:val="0"/>
      <w:marRight w:val="0"/>
      <w:marTop w:val="0"/>
      <w:marBottom w:val="0"/>
      <w:divBdr>
        <w:top w:val="none" w:sz="0" w:space="0" w:color="auto"/>
        <w:left w:val="none" w:sz="0" w:space="0" w:color="auto"/>
        <w:bottom w:val="none" w:sz="0" w:space="0" w:color="auto"/>
        <w:right w:val="none" w:sz="0" w:space="0" w:color="auto"/>
      </w:divBdr>
    </w:div>
    <w:div w:id="707295508">
      <w:bodyDiv w:val="1"/>
      <w:marLeft w:val="0"/>
      <w:marRight w:val="0"/>
      <w:marTop w:val="0"/>
      <w:marBottom w:val="0"/>
      <w:divBdr>
        <w:top w:val="none" w:sz="0" w:space="0" w:color="auto"/>
        <w:left w:val="none" w:sz="0" w:space="0" w:color="auto"/>
        <w:bottom w:val="none" w:sz="0" w:space="0" w:color="auto"/>
        <w:right w:val="none" w:sz="0" w:space="0" w:color="auto"/>
      </w:divBdr>
    </w:div>
    <w:div w:id="789905665">
      <w:bodyDiv w:val="1"/>
      <w:marLeft w:val="0"/>
      <w:marRight w:val="0"/>
      <w:marTop w:val="0"/>
      <w:marBottom w:val="0"/>
      <w:divBdr>
        <w:top w:val="none" w:sz="0" w:space="0" w:color="auto"/>
        <w:left w:val="none" w:sz="0" w:space="0" w:color="auto"/>
        <w:bottom w:val="none" w:sz="0" w:space="0" w:color="auto"/>
        <w:right w:val="none" w:sz="0" w:space="0" w:color="auto"/>
      </w:divBdr>
    </w:div>
    <w:div w:id="839081746">
      <w:bodyDiv w:val="1"/>
      <w:marLeft w:val="0"/>
      <w:marRight w:val="0"/>
      <w:marTop w:val="0"/>
      <w:marBottom w:val="0"/>
      <w:divBdr>
        <w:top w:val="none" w:sz="0" w:space="0" w:color="auto"/>
        <w:left w:val="none" w:sz="0" w:space="0" w:color="auto"/>
        <w:bottom w:val="none" w:sz="0" w:space="0" w:color="auto"/>
        <w:right w:val="none" w:sz="0" w:space="0" w:color="auto"/>
      </w:divBdr>
    </w:div>
    <w:div w:id="1128813557">
      <w:bodyDiv w:val="1"/>
      <w:marLeft w:val="0"/>
      <w:marRight w:val="0"/>
      <w:marTop w:val="0"/>
      <w:marBottom w:val="0"/>
      <w:divBdr>
        <w:top w:val="none" w:sz="0" w:space="0" w:color="auto"/>
        <w:left w:val="none" w:sz="0" w:space="0" w:color="auto"/>
        <w:bottom w:val="none" w:sz="0" w:space="0" w:color="auto"/>
        <w:right w:val="none" w:sz="0" w:space="0" w:color="auto"/>
      </w:divBdr>
    </w:div>
    <w:div w:id="1173494095">
      <w:bodyDiv w:val="1"/>
      <w:marLeft w:val="0"/>
      <w:marRight w:val="0"/>
      <w:marTop w:val="0"/>
      <w:marBottom w:val="0"/>
      <w:divBdr>
        <w:top w:val="none" w:sz="0" w:space="0" w:color="auto"/>
        <w:left w:val="none" w:sz="0" w:space="0" w:color="auto"/>
        <w:bottom w:val="none" w:sz="0" w:space="0" w:color="auto"/>
        <w:right w:val="none" w:sz="0" w:space="0" w:color="auto"/>
      </w:divBdr>
    </w:div>
    <w:div w:id="1196772434">
      <w:bodyDiv w:val="1"/>
      <w:marLeft w:val="0"/>
      <w:marRight w:val="0"/>
      <w:marTop w:val="0"/>
      <w:marBottom w:val="0"/>
      <w:divBdr>
        <w:top w:val="none" w:sz="0" w:space="0" w:color="auto"/>
        <w:left w:val="none" w:sz="0" w:space="0" w:color="auto"/>
        <w:bottom w:val="none" w:sz="0" w:space="0" w:color="auto"/>
        <w:right w:val="none" w:sz="0" w:space="0" w:color="auto"/>
      </w:divBdr>
    </w:div>
    <w:div w:id="1224371893">
      <w:bodyDiv w:val="1"/>
      <w:marLeft w:val="0"/>
      <w:marRight w:val="0"/>
      <w:marTop w:val="0"/>
      <w:marBottom w:val="0"/>
      <w:divBdr>
        <w:top w:val="none" w:sz="0" w:space="0" w:color="auto"/>
        <w:left w:val="none" w:sz="0" w:space="0" w:color="auto"/>
        <w:bottom w:val="none" w:sz="0" w:space="0" w:color="auto"/>
        <w:right w:val="none" w:sz="0" w:space="0" w:color="auto"/>
      </w:divBdr>
    </w:div>
    <w:div w:id="1310087575">
      <w:bodyDiv w:val="1"/>
      <w:marLeft w:val="0"/>
      <w:marRight w:val="0"/>
      <w:marTop w:val="0"/>
      <w:marBottom w:val="0"/>
      <w:divBdr>
        <w:top w:val="none" w:sz="0" w:space="0" w:color="auto"/>
        <w:left w:val="none" w:sz="0" w:space="0" w:color="auto"/>
        <w:bottom w:val="none" w:sz="0" w:space="0" w:color="auto"/>
        <w:right w:val="none" w:sz="0" w:space="0" w:color="auto"/>
      </w:divBdr>
    </w:div>
    <w:div w:id="1322464174">
      <w:bodyDiv w:val="1"/>
      <w:marLeft w:val="0"/>
      <w:marRight w:val="0"/>
      <w:marTop w:val="0"/>
      <w:marBottom w:val="0"/>
      <w:divBdr>
        <w:top w:val="none" w:sz="0" w:space="0" w:color="auto"/>
        <w:left w:val="none" w:sz="0" w:space="0" w:color="auto"/>
        <w:bottom w:val="none" w:sz="0" w:space="0" w:color="auto"/>
        <w:right w:val="none" w:sz="0" w:space="0" w:color="auto"/>
      </w:divBdr>
    </w:div>
    <w:div w:id="1383864521">
      <w:bodyDiv w:val="1"/>
      <w:marLeft w:val="0"/>
      <w:marRight w:val="0"/>
      <w:marTop w:val="0"/>
      <w:marBottom w:val="0"/>
      <w:divBdr>
        <w:top w:val="none" w:sz="0" w:space="0" w:color="auto"/>
        <w:left w:val="none" w:sz="0" w:space="0" w:color="auto"/>
        <w:bottom w:val="none" w:sz="0" w:space="0" w:color="auto"/>
        <w:right w:val="none" w:sz="0" w:space="0" w:color="auto"/>
      </w:divBdr>
    </w:div>
    <w:div w:id="1498761906">
      <w:bodyDiv w:val="1"/>
      <w:marLeft w:val="0"/>
      <w:marRight w:val="0"/>
      <w:marTop w:val="0"/>
      <w:marBottom w:val="0"/>
      <w:divBdr>
        <w:top w:val="none" w:sz="0" w:space="0" w:color="auto"/>
        <w:left w:val="none" w:sz="0" w:space="0" w:color="auto"/>
        <w:bottom w:val="none" w:sz="0" w:space="0" w:color="auto"/>
        <w:right w:val="none" w:sz="0" w:space="0" w:color="auto"/>
      </w:divBdr>
    </w:div>
    <w:div w:id="1564557813">
      <w:bodyDiv w:val="1"/>
      <w:marLeft w:val="0"/>
      <w:marRight w:val="0"/>
      <w:marTop w:val="0"/>
      <w:marBottom w:val="0"/>
      <w:divBdr>
        <w:top w:val="none" w:sz="0" w:space="0" w:color="auto"/>
        <w:left w:val="none" w:sz="0" w:space="0" w:color="auto"/>
        <w:bottom w:val="none" w:sz="0" w:space="0" w:color="auto"/>
        <w:right w:val="none" w:sz="0" w:space="0" w:color="auto"/>
      </w:divBdr>
    </w:div>
    <w:div w:id="1720544123">
      <w:bodyDiv w:val="1"/>
      <w:marLeft w:val="0"/>
      <w:marRight w:val="0"/>
      <w:marTop w:val="0"/>
      <w:marBottom w:val="0"/>
      <w:divBdr>
        <w:top w:val="none" w:sz="0" w:space="0" w:color="auto"/>
        <w:left w:val="none" w:sz="0" w:space="0" w:color="auto"/>
        <w:bottom w:val="none" w:sz="0" w:space="0" w:color="auto"/>
        <w:right w:val="none" w:sz="0" w:space="0" w:color="auto"/>
      </w:divBdr>
    </w:div>
    <w:div w:id="1928615907">
      <w:bodyDiv w:val="1"/>
      <w:marLeft w:val="0"/>
      <w:marRight w:val="0"/>
      <w:marTop w:val="0"/>
      <w:marBottom w:val="0"/>
      <w:divBdr>
        <w:top w:val="none" w:sz="0" w:space="0" w:color="auto"/>
        <w:left w:val="none" w:sz="0" w:space="0" w:color="auto"/>
        <w:bottom w:val="none" w:sz="0" w:space="0" w:color="auto"/>
        <w:right w:val="none" w:sz="0" w:space="0" w:color="auto"/>
      </w:divBdr>
    </w:div>
    <w:div w:id="2032146211">
      <w:bodyDiv w:val="1"/>
      <w:marLeft w:val="0"/>
      <w:marRight w:val="0"/>
      <w:marTop w:val="0"/>
      <w:marBottom w:val="0"/>
      <w:divBdr>
        <w:top w:val="none" w:sz="0" w:space="0" w:color="auto"/>
        <w:left w:val="none" w:sz="0" w:space="0" w:color="auto"/>
        <w:bottom w:val="none" w:sz="0" w:space="0" w:color="auto"/>
        <w:right w:val="none" w:sz="0" w:space="0" w:color="auto"/>
      </w:divBdr>
    </w:div>
    <w:div w:id="21403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ap.leg.wa.gov/leap/budget/lbns/2016Cap2380-S.S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ap.leg.wa.gov/leap/budget/lbns/2016Cap2380-S.S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merce.wa.gov/building-infrastructure/housing/housing-trust-fun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mmerc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018B86A280047AE0D3BBA6C725E9D" ma:contentTypeVersion="9" ma:contentTypeDescription="Create a new document." ma:contentTypeScope="" ma:versionID="68e1eb66d58c2a937be4b743bc47455f">
  <xsd:schema xmlns:xsd="http://www.w3.org/2001/XMLSchema" xmlns:xs="http://www.w3.org/2001/XMLSchema" xmlns:p="http://schemas.microsoft.com/office/2006/metadata/properties" xmlns:ns1="http://schemas.microsoft.com/sharepoint/v3" xmlns:ns2="2498ea6f-03ab-469d-9483-f9272e1ab88f" xmlns:ns3="8b68b6f8-6eef-4e9d-b8ff-01917c1461d0" targetNamespace="http://schemas.microsoft.com/office/2006/metadata/properties" ma:root="true" ma:fieldsID="1234a7dcac919de05c21a23886f1bba1" ns1:_="" ns2:_="" ns3:_="">
    <xsd:import namespace="http://schemas.microsoft.com/sharepoint/v3"/>
    <xsd:import namespace="2498ea6f-03ab-469d-9483-f9272e1ab88f"/>
    <xsd:import namespace="8b68b6f8-6eef-4e9d-b8ff-01917c1461d0"/>
    <xsd:element name="properties">
      <xsd:complexType>
        <xsd:sequence>
          <xsd:element name="documentManagement">
            <xsd:complexType>
              <xsd:all>
                <xsd:element ref="ns1:PublishingStartDate" minOccurs="0"/>
                <xsd:element ref="ns1:PublishingExpirationDate" minOccurs="0"/>
                <xsd:element ref="ns2:DocCategory"/>
                <xsd:element ref="ns2:DocSubCategory"/>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8ea6f-03ab-469d-9483-f9272e1ab88f" elementFormDefault="qualified">
    <xsd:import namespace="http://schemas.microsoft.com/office/2006/documentManagement/types"/>
    <xsd:import namespace="http://schemas.microsoft.com/office/infopath/2007/PartnerControls"/>
    <xsd:element name="DocCategory" ma:index="10" ma:displayName="DocCategory" ma:list="{c18db282-22cc-4f3d-87ef-0c667b5a4a5e}" ma:internalName="DocCategory" ma:showField="Title">
      <xsd:simpleType>
        <xsd:restriction base="dms:Lookup"/>
      </xsd:simpleType>
    </xsd:element>
    <xsd:element name="DocSubCategory" ma:index="11" ma:displayName="DocSubCategory" ma:list="{5e57fc98-ce03-44be-ae7e-66fc40c5c19b}" ma:internalName="DocSub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b68b6f8-6eef-4e9d-b8ff-01917c1461d0"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a5271c5b-d405-475c-823b-21b279bd0c30}" ma:internalName="TaxCatchAll" ma:showField="CatchAllData" ma:web="8b68b6f8-6eef-4e9d-b8ff-01917c146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Category xmlns="2498ea6f-03ab-469d-9483-f9272e1ab88f">2</DocCategory>
    <DocSubCategory xmlns="2498ea6f-03ab-469d-9483-f9272e1ab88f">12</DocSubCategory>
    <TaxCatchAll xmlns="8b68b6f8-6eef-4e9d-b8ff-01917c1461d0">
      <Value>97</Value>
      <Value>19</Value>
      <Value>100</Value>
      <Value>99</Value>
      <Value>98</Value>
    </TaxCatchAll>
    <TaxKeywordTaxHTField xmlns="8b68b6f8-6eef-4e9d-b8ff-01917c1461d0">
      <Terms xmlns="http://schemas.microsoft.com/office/infopath/2007/PartnerControls">
        <TermInfo xmlns="http://schemas.microsoft.com/office/infopath/2007/PartnerControls">
          <TermName xmlns="http://schemas.microsoft.com/office/infopath/2007/PartnerControls">communications template</TermName>
          <TermId xmlns="http://schemas.microsoft.com/office/infopath/2007/PartnerControls">00000000-0000-0000-0000-000000000000</TermId>
        </TermInfo>
        <TermInfo xmlns="http://schemas.microsoft.com/office/infopath/2007/PartnerControls">
          <TermName xmlns="http://schemas.microsoft.com/office/infopath/2007/PartnerControls">letterhead</TermName>
          <TermId xmlns="http://schemas.microsoft.com/office/infopath/2007/PartnerControls">00000000-0000-0000-0000-000000000000</TermId>
        </TermInfo>
        <TermInfo xmlns="http://schemas.microsoft.com/office/infopath/2007/PartnerControls">
          <TermName xmlns="http://schemas.microsoft.com/office/infopath/2007/PartnerControls">olympia letterhead</TermName>
          <TermId xmlns="http://schemas.microsoft.com/office/infopath/2007/PartnerControls">00000000-0000-0000-0000-000000000000</TermId>
        </TermInfo>
        <TermInfo xmlns="http://schemas.microsoft.com/office/infopath/2007/PartnerControls">
          <TermName xmlns="http://schemas.microsoft.com/office/infopath/2007/PartnerControls">olympia office letterhead</TermName>
          <TermId xmlns="http://schemas.microsoft.com/office/infopath/2007/PartnerControls">00000000-0000-0000-0000-000000000000</TermId>
        </TermInfo>
        <TermInfo xmlns="http://schemas.microsoft.com/office/infopath/2007/PartnerControls">
          <TermName xmlns="http://schemas.microsoft.com/office/infopath/2007/PartnerControls">letterhead template</TermName>
          <TermId xmlns="http://schemas.microsoft.com/office/infopath/2007/PartnerControls">00000000-0000-0000-0000-000000000000</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0468-27C2-45ED-ACED-09975E002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8ea6f-03ab-469d-9483-f9272e1ab88f"/>
    <ds:schemaRef ds:uri="8b68b6f8-6eef-4e9d-b8ff-01917c146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070AB-ABAD-4265-85E6-B4FD99316665}">
  <ds:schemaRefs>
    <ds:schemaRef ds:uri="http://schemas.openxmlformats.org/package/2006/metadata/core-properties"/>
    <ds:schemaRef ds:uri="2498ea6f-03ab-469d-9483-f9272e1ab88f"/>
    <ds:schemaRef ds:uri="http://purl.org/dc/dcmitype/"/>
    <ds:schemaRef ds:uri="http://schemas.microsoft.com/sharepoint/v3"/>
    <ds:schemaRef ds:uri="http://schemas.microsoft.com/office/2006/documentManagement/types"/>
    <ds:schemaRef ds:uri="http://purl.org/dc/elements/1.1/"/>
    <ds:schemaRef ds:uri="http://purl.org/dc/terms/"/>
    <ds:schemaRef ds:uri="8b68b6f8-6eef-4e9d-b8ff-01917c1461d0"/>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977B347-445E-457A-B365-DA3FA9AA5A3C}">
  <ds:schemaRefs>
    <ds:schemaRef ds:uri="http://schemas.microsoft.com/sharepoint/v3/contenttype/forms"/>
  </ds:schemaRefs>
</ds:datastoreItem>
</file>

<file path=customXml/itemProps4.xml><?xml version="1.0" encoding="utf-8"?>
<ds:datastoreItem xmlns:ds="http://schemas.openxmlformats.org/officeDocument/2006/customXml" ds:itemID="{0A9C38FC-6FDC-46E4-91F6-42551F7E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722</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Olympia Letterhead Template</vt:lpstr>
    </vt:vector>
  </TitlesOfParts>
  <Company>OFM</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Letterhead Template</dc:title>
  <dc:creator>Piccolomini, Nicole (COM)</dc:creator>
  <cp:keywords>letterhead; olympia office letterhead; communications template; letterhead template; olympia letterhead</cp:keywords>
  <cp:lastModifiedBy>Harrington, Sean (COM)</cp:lastModifiedBy>
  <cp:revision>5</cp:revision>
  <cp:lastPrinted>2017-02-28T21:57:00Z</cp:lastPrinted>
  <dcterms:created xsi:type="dcterms:W3CDTF">2017-02-28T21:55:00Z</dcterms:created>
  <dcterms:modified xsi:type="dcterms:W3CDTF">2017-02-28T23:02:00Z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2|01C5-2897-9B94-238B--0||">
    <vt:lpwstr>LINKTEK-ID-FILE--0</vt:lpwstr>
  </property>
  <property fmtid="{D5CDD505-2E9C-101B-9397-08002B2CF9AE}" pid="3" name="ContentTypeId">
    <vt:lpwstr>0x010100498018B86A280047AE0D3BBA6C725E9D</vt:lpwstr>
  </property>
  <property fmtid="{D5CDD505-2E9C-101B-9397-08002B2CF9AE}" pid="4" name="Category">
    <vt:lpwstr>Agency</vt:lpwstr>
  </property>
  <property fmtid="{D5CDD505-2E9C-101B-9397-08002B2CF9AE}" pid="5" name="TaxKeyword">
    <vt:lpwstr>19;#communications template|d31a92cf-f301-4232-bafc-862e24ed7658;#97;#letterhead|e61f815b-f0cf-4c8c-8f41-04f2b507e3b8;#98;#olympia letterhead|e0ef9e7a-6511-49d4-aa59-c0ff368c7503;#99;#olympia office letterhead|19d4af7d-86f7-413c-8561-8eea17209975;#100;#le</vt:lpwstr>
  </property>
</Properties>
</file>