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92" w:rsidRPr="00523FB9" w:rsidRDefault="00F14792" w:rsidP="00F14792">
      <w:pPr>
        <w:pStyle w:val="COM-BodyText-bold"/>
      </w:pPr>
      <w:bookmarkStart w:id="0" w:name="_GoBack"/>
      <w:bookmarkEnd w:id="0"/>
      <w:r w:rsidRPr="00523FB9">
        <w:rPr>
          <w:noProof/>
          <w:lang w:val="en-US" w:eastAsia="en-US"/>
        </w:rPr>
        <w:drawing>
          <wp:inline distT="0" distB="0" distL="0" distR="0" wp14:anchorId="1E755D47" wp14:editId="17882046">
            <wp:extent cx="3436735" cy="733425"/>
            <wp:effectExtent l="0" t="0" r="0" b="0"/>
            <wp:docPr id="20" name="Picture 4" descr="DOC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Logo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6560" cy="735522"/>
                    </a:xfrm>
                    <a:prstGeom prst="rect">
                      <a:avLst/>
                    </a:prstGeom>
                    <a:noFill/>
                    <a:ln>
                      <a:noFill/>
                    </a:ln>
                  </pic:spPr>
                </pic:pic>
              </a:graphicData>
            </a:graphic>
          </wp:inline>
        </w:drawing>
      </w:r>
    </w:p>
    <w:p w:rsidR="00F14792" w:rsidRPr="00523FB9" w:rsidRDefault="00F14792" w:rsidP="00F14792">
      <w:pPr>
        <w:pStyle w:val="COM-Bodytext"/>
      </w:pPr>
    </w:p>
    <w:p w:rsidR="00F14792" w:rsidRPr="00523FB9" w:rsidRDefault="00F14792" w:rsidP="00F14792">
      <w:pPr>
        <w:pStyle w:val="COM-Bodytext"/>
      </w:pPr>
      <w:r>
        <w:rPr>
          <w:noProof/>
        </w:rPr>
        <w:drawing>
          <wp:anchor distT="0" distB="0" distL="114300" distR="114300" simplePos="0" relativeHeight="251659264" behindDoc="1" locked="1" layoutInCell="1" allowOverlap="1" wp14:anchorId="47CADE69" wp14:editId="4CC32ECC">
            <wp:simplePos x="0" y="0"/>
            <wp:positionH relativeFrom="column">
              <wp:posOffset>-2705100</wp:posOffset>
            </wp:positionH>
            <wp:positionV relativeFrom="page">
              <wp:posOffset>2194560</wp:posOffset>
            </wp:positionV>
            <wp:extent cx="5943600" cy="7086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e 2.jpg"/>
                    <pic:cNvPicPr/>
                  </pic:nvPicPr>
                  <pic:blipFill rotWithShape="1">
                    <a:blip r:embed="rId13">
                      <a:alphaModFix amt="25000"/>
                      <a:extLst>
                        <a:ext uri="{28A0092B-C50C-407E-A947-70E740481C1C}">
                          <a14:useLocalDpi xmlns:a14="http://schemas.microsoft.com/office/drawing/2010/main" val="0"/>
                        </a:ext>
                      </a:extLst>
                    </a:blip>
                    <a:srcRect t="9125" b="-5200"/>
                    <a:stretch/>
                  </pic:blipFill>
                  <pic:spPr bwMode="auto">
                    <a:xfrm>
                      <a:off x="0" y="0"/>
                      <a:ext cx="5943600" cy="708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14792" w:rsidRDefault="00F14792" w:rsidP="00F14792">
      <w:pPr>
        <w:pStyle w:val="COM-Bodytext"/>
      </w:pPr>
    </w:p>
    <w:p w:rsidR="00F14792" w:rsidRPr="00523FB9"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Pr="00880716" w:rsidRDefault="00F14792" w:rsidP="00F14792">
      <w:pPr>
        <w:pStyle w:val="COM-Bodytext"/>
      </w:pPr>
    </w:p>
    <w:p w:rsidR="006902AD" w:rsidRDefault="006902AD" w:rsidP="00F14792">
      <w:pPr>
        <w:pStyle w:val="COM-ReportTitle"/>
        <w:spacing w:after="0"/>
      </w:pPr>
    </w:p>
    <w:p w:rsidR="006902AD" w:rsidRDefault="006902AD" w:rsidP="00F14792">
      <w:pPr>
        <w:pStyle w:val="COM-ReportTitle"/>
        <w:spacing w:after="0"/>
      </w:pPr>
    </w:p>
    <w:p w:rsidR="006902AD" w:rsidRDefault="006902AD" w:rsidP="00F14792">
      <w:pPr>
        <w:pStyle w:val="COM-ReportTitle"/>
        <w:spacing w:after="0"/>
      </w:pPr>
    </w:p>
    <w:p w:rsidR="00F14792" w:rsidRDefault="00F14792" w:rsidP="00F14792">
      <w:pPr>
        <w:pStyle w:val="COM-ReportTitle"/>
        <w:spacing w:after="0"/>
      </w:pPr>
      <w:r>
        <w:t>Carbon Tax Assessment Model</w:t>
      </w:r>
    </w:p>
    <w:p w:rsidR="00F14792" w:rsidRPr="000C53D8" w:rsidRDefault="00F14792" w:rsidP="00F14792">
      <w:pPr>
        <w:pStyle w:val="COM-ReportTitle"/>
        <w:spacing w:after="0"/>
      </w:pPr>
      <w:r>
        <w:t>User’s Manual</w:t>
      </w:r>
    </w:p>
    <w:p w:rsidR="00F14792" w:rsidRPr="004942E8" w:rsidRDefault="00F14792" w:rsidP="00F14792">
      <w:pPr>
        <w:pStyle w:val="COM-ReportSub-Title"/>
        <w:jc w:val="right"/>
        <w:rPr>
          <w:lang w:val="en-US"/>
        </w:rPr>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tabs>
          <w:tab w:val="left" w:pos="2533"/>
        </w:tabs>
      </w:pPr>
      <w:r>
        <w:tab/>
      </w:r>
    </w:p>
    <w:p w:rsidR="00F14792" w:rsidRDefault="00F14792" w:rsidP="00F14792">
      <w:pPr>
        <w:pStyle w:val="COM-Bodytext"/>
      </w:pPr>
    </w:p>
    <w:p w:rsidR="00F14792" w:rsidRDefault="00F14792" w:rsidP="00F14792">
      <w:pPr>
        <w:pStyle w:val="COM-Bodytext"/>
      </w:pPr>
    </w:p>
    <w:p w:rsidR="00F14792" w:rsidRDefault="00F14792" w:rsidP="00F14792">
      <w:pPr>
        <w:pStyle w:val="COM-Bodytext"/>
        <w:tabs>
          <w:tab w:val="left" w:pos="2400"/>
        </w:tabs>
      </w:pPr>
      <w:r>
        <w:tab/>
      </w: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
      </w:pPr>
    </w:p>
    <w:p w:rsidR="00F14792" w:rsidRDefault="00F14792" w:rsidP="00F14792">
      <w:pPr>
        <w:pStyle w:val="COM-BodyText-NospaceafterPP"/>
        <w:rPr>
          <w:lang w:val="en-US"/>
        </w:rPr>
      </w:pPr>
      <w:r>
        <w:tab/>
      </w:r>
      <w:r>
        <w:tab/>
      </w:r>
    </w:p>
    <w:p w:rsidR="00F14792" w:rsidRDefault="00F14792" w:rsidP="00F14792">
      <w:pPr>
        <w:pStyle w:val="COM-BodyText-NospaceafterPP"/>
      </w:pPr>
    </w:p>
    <w:p w:rsidR="00AA1395" w:rsidRDefault="00F14792" w:rsidP="00F14792">
      <w:pPr>
        <w:pStyle w:val="COM-BodyText-NospaceafterPP"/>
        <w:sectPr w:rsidR="00AA1395" w:rsidSect="00181A84">
          <w:pgSz w:w="12240" w:h="15840"/>
          <w:pgMar w:top="1008" w:right="1008" w:bottom="810" w:left="1008" w:header="720" w:footer="720" w:gutter="0"/>
          <w:cols w:space="720"/>
          <w:docGrid w:linePitch="360"/>
        </w:sectPr>
      </w:pPr>
      <w:r>
        <w:t>March 2015</w:t>
      </w:r>
    </w:p>
    <w:p w:rsidR="00F14792" w:rsidRPr="00EC2E89" w:rsidRDefault="00F14792" w:rsidP="00F14792">
      <w:pPr>
        <w:pStyle w:val="COM-BodyText-NospaceafterPP"/>
        <w:rPr>
          <w:lang w:val="en-US"/>
        </w:rPr>
      </w:pPr>
    </w:p>
    <w:sdt>
      <w:sdtPr>
        <w:rPr>
          <w:rFonts w:asciiTheme="minorHAnsi" w:eastAsiaTheme="minorHAnsi" w:hAnsiTheme="minorHAnsi" w:cstheme="minorBidi"/>
          <w:b w:val="0"/>
          <w:bCs w:val="0"/>
          <w:color w:val="auto"/>
          <w:sz w:val="22"/>
          <w:szCs w:val="22"/>
          <w:lang w:eastAsia="en-US"/>
        </w:rPr>
        <w:id w:val="1476948656"/>
        <w:docPartObj>
          <w:docPartGallery w:val="Table of Contents"/>
          <w:docPartUnique/>
        </w:docPartObj>
      </w:sdtPr>
      <w:sdtEndPr>
        <w:rPr>
          <w:noProof/>
        </w:rPr>
      </w:sdtEndPr>
      <w:sdtContent>
        <w:p w:rsidR="001C6F48" w:rsidRDefault="001C6F48" w:rsidP="00181A84">
          <w:pPr>
            <w:pStyle w:val="TOCHeading"/>
            <w:spacing w:before="120"/>
          </w:pPr>
          <w:r>
            <w:t>Contents</w:t>
          </w:r>
        </w:p>
        <w:p w:rsidR="00181A84" w:rsidRDefault="001C6F48" w:rsidP="00181A84">
          <w:pPr>
            <w:pStyle w:val="TOC1"/>
            <w:tabs>
              <w:tab w:val="right" w:leader="dot" w:pos="10214"/>
            </w:tabs>
            <w:rPr>
              <w:rFonts w:eastAsiaTheme="minorEastAsia"/>
              <w:noProof/>
            </w:rPr>
          </w:pPr>
          <w:r>
            <w:fldChar w:fldCharType="begin"/>
          </w:r>
          <w:r>
            <w:instrText xml:space="preserve"> TOC \o "1-3" \h \z \u </w:instrText>
          </w:r>
          <w:r>
            <w:fldChar w:fldCharType="separate"/>
          </w:r>
          <w:hyperlink w:anchor="_Toc414355317" w:history="1">
            <w:r w:rsidR="00181A84" w:rsidRPr="005D795F">
              <w:rPr>
                <w:rStyle w:val="Hyperlink"/>
                <w:noProof/>
              </w:rPr>
              <w:t>INTRODUCTION</w:t>
            </w:r>
            <w:r w:rsidR="00181A84">
              <w:rPr>
                <w:noProof/>
                <w:webHidden/>
              </w:rPr>
              <w:tab/>
            </w:r>
            <w:r w:rsidR="00181A84">
              <w:rPr>
                <w:noProof/>
                <w:webHidden/>
              </w:rPr>
              <w:fldChar w:fldCharType="begin"/>
            </w:r>
            <w:r w:rsidR="00181A84">
              <w:rPr>
                <w:noProof/>
                <w:webHidden/>
              </w:rPr>
              <w:instrText xml:space="preserve"> PAGEREF _Toc414355317 \h </w:instrText>
            </w:r>
            <w:r w:rsidR="00181A84">
              <w:rPr>
                <w:noProof/>
                <w:webHidden/>
              </w:rPr>
            </w:r>
            <w:r w:rsidR="00181A84">
              <w:rPr>
                <w:noProof/>
                <w:webHidden/>
              </w:rPr>
              <w:fldChar w:fldCharType="separate"/>
            </w:r>
            <w:r w:rsidR="00CF49FD">
              <w:rPr>
                <w:noProof/>
                <w:webHidden/>
              </w:rPr>
              <w:t>2</w:t>
            </w:r>
            <w:r w:rsidR="00181A84">
              <w:rPr>
                <w:noProof/>
                <w:webHidden/>
              </w:rPr>
              <w:fldChar w:fldCharType="end"/>
            </w:r>
          </w:hyperlink>
        </w:p>
        <w:p w:rsidR="00181A84" w:rsidRDefault="00EF6444" w:rsidP="00181A84">
          <w:pPr>
            <w:pStyle w:val="TOC1"/>
            <w:tabs>
              <w:tab w:val="right" w:leader="dot" w:pos="10214"/>
            </w:tabs>
            <w:rPr>
              <w:rFonts w:eastAsiaTheme="minorEastAsia"/>
              <w:noProof/>
            </w:rPr>
          </w:pPr>
          <w:hyperlink w:anchor="_Toc414355318" w:history="1">
            <w:r w:rsidR="00181A84" w:rsidRPr="005D795F">
              <w:rPr>
                <w:rStyle w:val="Hyperlink"/>
                <w:noProof/>
              </w:rPr>
              <w:t>CTAM 3.0a</w:t>
            </w:r>
            <w:r w:rsidR="00181A84">
              <w:rPr>
                <w:noProof/>
                <w:webHidden/>
              </w:rPr>
              <w:tab/>
            </w:r>
            <w:r w:rsidR="00181A84">
              <w:rPr>
                <w:noProof/>
                <w:webHidden/>
              </w:rPr>
              <w:fldChar w:fldCharType="begin"/>
            </w:r>
            <w:r w:rsidR="00181A84">
              <w:rPr>
                <w:noProof/>
                <w:webHidden/>
              </w:rPr>
              <w:instrText xml:space="preserve"> PAGEREF _Toc414355318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19" w:history="1">
            <w:r w:rsidR="00181A84" w:rsidRPr="005D795F">
              <w:rPr>
                <w:rStyle w:val="Hyperlink"/>
                <w:noProof/>
              </w:rPr>
              <w:t>COVER TAB</w:t>
            </w:r>
            <w:r w:rsidR="00181A84">
              <w:rPr>
                <w:noProof/>
                <w:webHidden/>
              </w:rPr>
              <w:tab/>
            </w:r>
            <w:r w:rsidR="00181A84">
              <w:rPr>
                <w:noProof/>
                <w:webHidden/>
              </w:rPr>
              <w:fldChar w:fldCharType="begin"/>
            </w:r>
            <w:r w:rsidR="00181A84">
              <w:rPr>
                <w:noProof/>
                <w:webHidden/>
              </w:rPr>
              <w:instrText xml:space="preserve"> PAGEREF _Toc414355319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20" w:history="1">
            <w:r w:rsidR="00181A84" w:rsidRPr="005D795F">
              <w:rPr>
                <w:rStyle w:val="Hyperlink"/>
                <w:noProof/>
              </w:rPr>
              <w:t>DASHBOARD TAB</w:t>
            </w:r>
            <w:r w:rsidR="00181A84">
              <w:rPr>
                <w:noProof/>
                <w:webHidden/>
              </w:rPr>
              <w:tab/>
            </w:r>
            <w:r w:rsidR="00181A84">
              <w:rPr>
                <w:noProof/>
                <w:webHidden/>
              </w:rPr>
              <w:fldChar w:fldCharType="begin"/>
            </w:r>
            <w:r w:rsidR="00181A84">
              <w:rPr>
                <w:noProof/>
                <w:webHidden/>
              </w:rPr>
              <w:instrText xml:space="preserve"> PAGEREF _Toc414355320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1" w:history="1">
            <w:r w:rsidR="00181A84" w:rsidRPr="005D795F">
              <w:rPr>
                <w:rStyle w:val="Hyperlink"/>
                <w:noProof/>
              </w:rPr>
              <w:t>Subsection 1: Defining the carbon tax</w:t>
            </w:r>
            <w:r w:rsidR="00181A84">
              <w:rPr>
                <w:noProof/>
                <w:webHidden/>
              </w:rPr>
              <w:tab/>
            </w:r>
            <w:r w:rsidR="00181A84">
              <w:rPr>
                <w:noProof/>
                <w:webHidden/>
              </w:rPr>
              <w:fldChar w:fldCharType="begin"/>
            </w:r>
            <w:r w:rsidR="00181A84">
              <w:rPr>
                <w:noProof/>
                <w:webHidden/>
              </w:rPr>
              <w:instrText xml:space="preserve"> PAGEREF _Toc414355321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2" w:history="1">
            <w:r w:rsidR="00181A84" w:rsidRPr="005D795F">
              <w:rPr>
                <w:rStyle w:val="Hyperlink"/>
                <w:noProof/>
              </w:rPr>
              <w:t>Subsection 2: Fate of carbon tax revenue</w:t>
            </w:r>
            <w:r w:rsidR="00181A84">
              <w:rPr>
                <w:noProof/>
                <w:webHidden/>
              </w:rPr>
              <w:tab/>
            </w:r>
            <w:r w:rsidR="00181A84">
              <w:rPr>
                <w:noProof/>
                <w:webHidden/>
              </w:rPr>
              <w:fldChar w:fldCharType="begin"/>
            </w:r>
            <w:r w:rsidR="00181A84">
              <w:rPr>
                <w:noProof/>
                <w:webHidden/>
              </w:rPr>
              <w:instrText xml:space="preserve"> PAGEREF _Toc414355322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3" w:history="1">
            <w:r w:rsidR="00181A84" w:rsidRPr="005D795F">
              <w:rPr>
                <w:rStyle w:val="Hyperlink"/>
                <w:noProof/>
              </w:rPr>
              <w:t>Subsection 3: Model behavior</w:t>
            </w:r>
            <w:r w:rsidR="00181A84">
              <w:rPr>
                <w:noProof/>
                <w:webHidden/>
              </w:rPr>
              <w:tab/>
            </w:r>
            <w:r w:rsidR="00181A84">
              <w:rPr>
                <w:noProof/>
                <w:webHidden/>
              </w:rPr>
              <w:fldChar w:fldCharType="begin"/>
            </w:r>
            <w:r w:rsidR="00181A84">
              <w:rPr>
                <w:noProof/>
                <w:webHidden/>
              </w:rPr>
              <w:instrText xml:space="preserve"> PAGEREF _Toc414355323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4" w:history="1">
            <w:r w:rsidR="00181A84" w:rsidRPr="005D795F">
              <w:rPr>
                <w:rStyle w:val="Hyperlink"/>
                <w:noProof/>
              </w:rPr>
              <w:t>Subsection 4: Optional - exogenous reductions to specific energy sectors</w:t>
            </w:r>
            <w:r w:rsidR="00181A84">
              <w:rPr>
                <w:noProof/>
                <w:webHidden/>
              </w:rPr>
              <w:tab/>
            </w:r>
            <w:r w:rsidR="00181A84">
              <w:rPr>
                <w:noProof/>
                <w:webHidden/>
              </w:rPr>
              <w:fldChar w:fldCharType="begin"/>
            </w:r>
            <w:r w:rsidR="00181A84">
              <w:rPr>
                <w:noProof/>
                <w:webHidden/>
              </w:rPr>
              <w:instrText xml:space="preserve"> PAGEREF _Toc414355324 \h </w:instrText>
            </w:r>
            <w:r w:rsidR="00181A84">
              <w:rPr>
                <w:noProof/>
                <w:webHidden/>
              </w:rPr>
            </w:r>
            <w:r w:rsidR="00181A84">
              <w:rPr>
                <w:noProof/>
                <w:webHidden/>
              </w:rPr>
              <w:fldChar w:fldCharType="separate"/>
            </w:r>
            <w:r w:rsidR="00CF49FD">
              <w:rPr>
                <w:noProof/>
                <w:webHidden/>
              </w:rPr>
              <w:t>3</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5" w:history="1">
            <w:r w:rsidR="00181A84" w:rsidRPr="005D795F">
              <w:rPr>
                <w:rStyle w:val="Hyperlink"/>
                <w:noProof/>
              </w:rPr>
              <w:t>Subsection 5: Optional - exogenous reductions to industrial process emissions</w:t>
            </w:r>
            <w:r w:rsidR="00181A84">
              <w:rPr>
                <w:noProof/>
                <w:webHidden/>
              </w:rPr>
              <w:tab/>
            </w:r>
            <w:r w:rsidR="00181A84">
              <w:rPr>
                <w:noProof/>
                <w:webHidden/>
              </w:rPr>
              <w:fldChar w:fldCharType="begin"/>
            </w:r>
            <w:r w:rsidR="00181A84">
              <w:rPr>
                <w:noProof/>
                <w:webHidden/>
              </w:rPr>
              <w:instrText xml:space="preserve"> PAGEREF _Toc414355325 \h </w:instrText>
            </w:r>
            <w:r w:rsidR="00181A84">
              <w:rPr>
                <w:noProof/>
                <w:webHidden/>
              </w:rPr>
            </w:r>
            <w:r w:rsidR="00181A84">
              <w:rPr>
                <w:noProof/>
                <w:webHidden/>
              </w:rPr>
              <w:fldChar w:fldCharType="separate"/>
            </w:r>
            <w:r w:rsidR="00CF49FD">
              <w:rPr>
                <w:noProof/>
                <w:webHidden/>
              </w:rPr>
              <w:t>4</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6" w:history="1">
            <w:r w:rsidR="00181A84" w:rsidRPr="005D795F">
              <w:rPr>
                <w:rStyle w:val="Hyperlink"/>
                <w:noProof/>
              </w:rPr>
              <w:t>Subsection 6: Optional - supplemental fuel tax</w:t>
            </w:r>
            <w:r w:rsidR="00181A84">
              <w:rPr>
                <w:noProof/>
                <w:webHidden/>
              </w:rPr>
              <w:tab/>
            </w:r>
            <w:r w:rsidR="00181A84">
              <w:rPr>
                <w:noProof/>
                <w:webHidden/>
              </w:rPr>
              <w:fldChar w:fldCharType="begin"/>
            </w:r>
            <w:r w:rsidR="00181A84">
              <w:rPr>
                <w:noProof/>
                <w:webHidden/>
              </w:rPr>
              <w:instrText xml:space="preserve"> PAGEREF _Toc414355326 \h </w:instrText>
            </w:r>
            <w:r w:rsidR="00181A84">
              <w:rPr>
                <w:noProof/>
                <w:webHidden/>
              </w:rPr>
            </w:r>
            <w:r w:rsidR="00181A84">
              <w:rPr>
                <w:noProof/>
                <w:webHidden/>
              </w:rPr>
              <w:fldChar w:fldCharType="separate"/>
            </w:r>
            <w:r w:rsidR="00CF49FD">
              <w:rPr>
                <w:noProof/>
                <w:webHidden/>
              </w:rPr>
              <w:t>4</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7" w:history="1">
            <w:r w:rsidR="00181A84" w:rsidRPr="005D795F">
              <w:rPr>
                <w:rStyle w:val="Hyperlink"/>
                <w:noProof/>
              </w:rPr>
              <w:t>Subsection 7: Optional - invoke a low carbon fuel standard</w:t>
            </w:r>
            <w:r w:rsidR="00181A84">
              <w:rPr>
                <w:noProof/>
                <w:webHidden/>
              </w:rPr>
              <w:tab/>
            </w:r>
            <w:r w:rsidR="00181A84">
              <w:rPr>
                <w:noProof/>
                <w:webHidden/>
              </w:rPr>
              <w:fldChar w:fldCharType="begin"/>
            </w:r>
            <w:r w:rsidR="00181A84">
              <w:rPr>
                <w:noProof/>
                <w:webHidden/>
              </w:rPr>
              <w:instrText xml:space="preserve"> PAGEREF _Toc414355327 \h </w:instrText>
            </w:r>
            <w:r w:rsidR="00181A84">
              <w:rPr>
                <w:noProof/>
                <w:webHidden/>
              </w:rPr>
            </w:r>
            <w:r w:rsidR="00181A84">
              <w:rPr>
                <w:noProof/>
                <w:webHidden/>
              </w:rPr>
              <w:fldChar w:fldCharType="separate"/>
            </w:r>
            <w:r w:rsidR="00CF49FD">
              <w:rPr>
                <w:noProof/>
                <w:webHidden/>
              </w:rPr>
              <w:t>4</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8" w:history="1">
            <w:r w:rsidR="00181A84" w:rsidRPr="005D795F">
              <w:rPr>
                <w:rStyle w:val="Hyperlink"/>
                <w:noProof/>
              </w:rPr>
              <w:t>Subsection 8: Optional – shut down Colstrip power plant</w:t>
            </w:r>
            <w:r w:rsidR="00181A84">
              <w:rPr>
                <w:noProof/>
                <w:webHidden/>
              </w:rPr>
              <w:tab/>
            </w:r>
            <w:r w:rsidR="00181A84">
              <w:rPr>
                <w:noProof/>
                <w:webHidden/>
              </w:rPr>
              <w:fldChar w:fldCharType="begin"/>
            </w:r>
            <w:r w:rsidR="00181A84">
              <w:rPr>
                <w:noProof/>
                <w:webHidden/>
              </w:rPr>
              <w:instrText xml:space="preserve"> PAGEREF _Toc414355328 \h </w:instrText>
            </w:r>
            <w:r w:rsidR="00181A84">
              <w:rPr>
                <w:noProof/>
                <w:webHidden/>
              </w:rPr>
            </w:r>
            <w:r w:rsidR="00181A84">
              <w:rPr>
                <w:noProof/>
                <w:webHidden/>
              </w:rPr>
              <w:fldChar w:fldCharType="separate"/>
            </w:r>
            <w:r w:rsidR="00CF49FD">
              <w:rPr>
                <w:noProof/>
                <w:webHidden/>
              </w:rPr>
              <w:t>4</w:t>
            </w:r>
            <w:r w:rsidR="00181A84">
              <w:rPr>
                <w:noProof/>
                <w:webHidden/>
              </w:rPr>
              <w:fldChar w:fldCharType="end"/>
            </w:r>
          </w:hyperlink>
        </w:p>
        <w:p w:rsidR="00181A84" w:rsidRDefault="00EF6444" w:rsidP="00181A84">
          <w:pPr>
            <w:pStyle w:val="TOC3"/>
            <w:tabs>
              <w:tab w:val="right" w:leader="dot" w:pos="10214"/>
            </w:tabs>
            <w:rPr>
              <w:rFonts w:eastAsiaTheme="minorEastAsia"/>
              <w:noProof/>
            </w:rPr>
          </w:pPr>
          <w:hyperlink w:anchor="_Toc414355329" w:history="1">
            <w:r w:rsidR="00181A84" w:rsidRPr="005D795F">
              <w:rPr>
                <w:rStyle w:val="Hyperlink"/>
                <w:noProof/>
              </w:rPr>
              <w:t>Subsection 9: Optional – increase penetration rate of EVs</w:t>
            </w:r>
            <w:r w:rsidR="00181A84">
              <w:rPr>
                <w:noProof/>
                <w:webHidden/>
              </w:rPr>
              <w:tab/>
            </w:r>
            <w:r w:rsidR="00181A84">
              <w:rPr>
                <w:noProof/>
                <w:webHidden/>
              </w:rPr>
              <w:fldChar w:fldCharType="begin"/>
            </w:r>
            <w:r w:rsidR="00181A84">
              <w:rPr>
                <w:noProof/>
                <w:webHidden/>
              </w:rPr>
              <w:instrText xml:space="preserve"> PAGEREF _Toc414355329 \h </w:instrText>
            </w:r>
            <w:r w:rsidR="00181A84">
              <w:rPr>
                <w:noProof/>
                <w:webHidden/>
              </w:rPr>
            </w:r>
            <w:r w:rsidR="00181A84">
              <w:rPr>
                <w:noProof/>
                <w:webHidden/>
              </w:rPr>
              <w:fldChar w:fldCharType="separate"/>
            </w:r>
            <w:r w:rsidR="00CF49FD">
              <w:rPr>
                <w:noProof/>
                <w:webHidden/>
              </w:rPr>
              <w:t>4</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0" w:history="1">
            <w:r w:rsidR="00181A84" w:rsidRPr="005D795F">
              <w:rPr>
                <w:rStyle w:val="Hyperlink"/>
                <w:noProof/>
              </w:rPr>
              <w:t>DASHBOARD MODEL OUTPUT</w:t>
            </w:r>
            <w:r w:rsidR="00181A84">
              <w:rPr>
                <w:noProof/>
                <w:webHidden/>
              </w:rPr>
              <w:tab/>
            </w:r>
            <w:r w:rsidR="00181A84">
              <w:rPr>
                <w:noProof/>
                <w:webHidden/>
              </w:rPr>
              <w:fldChar w:fldCharType="begin"/>
            </w:r>
            <w:r w:rsidR="00181A84">
              <w:rPr>
                <w:noProof/>
                <w:webHidden/>
              </w:rPr>
              <w:instrText xml:space="preserve"> PAGEREF _Toc414355330 \h </w:instrText>
            </w:r>
            <w:r w:rsidR="00181A84">
              <w:rPr>
                <w:noProof/>
                <w:webHidden/>
              </w:rPr>
            </w:r>
            <w:r w:rsidR="00181A84">
              <w:rPr>
                <w:noProof/>
                <w:webHidden/>
              </w:rPr>
              <w:fldChar w:fldCharType="separate"/>
            </w:r>
            <w:r w:rsidR="00CF49FD">
              <w:rPr>
                <w:noProof/>
                <w:webHidden/>
              </w:rPr>
              <w:t>5</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1" w:history="1">
            <w:r w:rsidR="00181A84" w:rsidRPr="005D795F">
              <w:rPr>
                <w:rStyle w:val="Hyperlink"/>
                <w:noProof/>
              </w:rPr>
              <w:t>PARAMETERS TAB</w:t>
            </w:r>
            <w:r w:rsidR="00181A84">
              <w:rPr>
                <w:noProof/>
                <w:webHidden/>
              </w:rPr>
              <w:tab/>
            </w:r>
            <w:r w:rsidR="00181A84">
              <w:rPr>
                <w:noProof/>
                <w:webHidden/>
              </w:rPr>
              <w:fldChar w:fldCharType="begin"/>
            </w:r>
            <w:r w:rsidR="00181A84">
              <w:rPr>
                <w:noProof/>
                <w:webHidden/>
              </w:rPr>
              <w:instrText xml:space="preserve"> PAGEREF _Toc414355331 \h </w:instrText>
            </w:r>
            <w:r w:rsidR="00181A84">
              <w:rPr>
                <w:noProof/>
                <w:webHidden/>
              </w:rPr>
            </w:r>
            <w:r w:rsidR="00181A84">
              <w:rPr>
                <w:noProof/>
                <w:webHidden/>
              </w:rPr>
              <w:fldChar w:fldCharType="separate"/>
            </w:r>
            <w:r w:rsidR="00CF49FD">
              <w:rPr>
                <w:noProof/>
                <w:webHidden/>
              </w:rPr>
              <w:t>5</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2" w:history="1">
            <w:r w:rsidR="00181A84" w:rsidRPr="005D795F">
              <w:rPr>
                <w:rStyle w:val="Hyperlink"/>
                <w:noProof/>
              </w:rPr>
              <w:t>ELASTICITIES TAB</w:t>
            </w:r>
            <w:r w:rsidR="00181A84">
              <w:rPr>
                <w:noProof/>
                <w:webHidden/>
              </w:rPr>
              <w:tab/>
            </w:r>
            <w:r w:rsidR="00181A84">
              <w:rPr>
                <w:noProof/>
                <w:webHidden/>
              </w:rPr>
              <w:fldChar w:fldCharType="begin"/>
            </w:r>
            <w:r w:rsidR="00181A84">
              <w:rPr>
                <w:noProof/>
                <w:webHidden/>
              </w:rPr>
              <w:instrText xml:space="preserve"> PAGEREF _Toc414355332 \h </w:instrText>
            </w:r>
            <w:r w:rsidR="00181A84">
              <w:rPr>
                <w:noProof/>
                <w:webHidden/>
              </w:rPr>
            </w:r>
            <w:r w:rsidR="00181A84">
              <w:rPr>
                <w:noProof/>
                <w:webHidden/>
              </w:rPr>
              <w:fldChar w:fldCharType="separate"/>
            </w:r>
            <w:r w:rsidR="00CF49FD">
              <w:rPr>
                <w:noProof/>
                <w:webHidden/>
              </w:rPr>
              <w:t>5</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3" w:history="1">
            <w:r w:rsidR="00181A84" w:rsidRPr="005D795F">
              <w:rPr>
                <w:rStyle w:val="Hyperlink"/>
                <w:noProof/>
              </w:rPr>
              <w:t>RAMPS TAB</w:t>
            </w:r>
            <w:r w:rsidR="00181A84">
              <w:rPr>
                <w:noProof/>
                <w:webHidden/>
              </w:rPr>
              <w:tab/>
            </w:r>
            <w:r w:rsidR="00181A84">
              <w:rPr>
                <w:noProof/>
                <w:webHidden/>
              </w:rPr>
              <w:fldChar w:fldCharType="begin"/>
            </w:r>
            <w:r w:rsidR="00181A84">
              <w:rPr>
                <w:noProof/>
                <w:webHidden/>
              </w:rPr>
              <w:instrText xml:space="preserve"> PAGEREF _Toc414355333 \h </w:instrText>
            </w:r>
            <w:r w:rsidR="00181A84">
              <w:rPr>
                <w:noProof/>
                <w:webHidden/>
              </w:rPr>
            </w:r>
            <w:r w:rsidR="00181A84">
              <w:rPr>
                <w:noProof/>
                <w:webHidden/>
              </w:rPr>
              <w:fldChar w:fldCharType="separate"/>
            </w:r>
            <w:r w:rsidR="00CF49FD">
              <w:rPr>
                <w:noProof/>
                <w:webHidden/>
              </w:rPr>
              <w:t>6</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4" w:history="1">
            <w:r w:rsidR="00181A84" w:rsidRPr="005D795F">
              <w:rPr>
                <w:rStyle w:val="Hyperlink"/>
                <w:noProof/>
              </w:rPr>
              <w:t>PRICE SCENARIO TABS A, B, and C</w:t>
            </w:r>
            <w:r w:rsidR="00181A84">
              <w:rPr>
                <w:noProof/>
                <w:webHidden/>
              </w:rPr>
              <w:tab/>
            </w:r>
            <w:r w:rsidR="00181A84">
              <w:rPr>
                <w:noProof/>
                <w:webHidden/>
              </w:rPr>
              <w:fldChar w:fldCharType="begin"/>
            </w:r>
            <w:r w:rsidR="00181A84">
              <w:rPr>
                <w:noProof/>
                <w:webHidden/>
              </w:rPr>
              <w:instrText xml:space="preserve"> PAGEREF _Toc414355334 \h </w:instrText>
            </w:r>
            <w:r w:rsidR="00181A84">
              <w:rPr>
                <w:noProof/>
                <w:webHidden/>
              </w:rPr>
            </w:r>
            <w:r w:rsidR="00181A84">
              <w:rPr>
                <w:noProof/>
                <w:webHidden/>
              </w:rPr>
              <w:fldChar w:fldCharType="separate"/>
            </w:r>
            <w:r w:rsidR="00CF49FD">
              <w:rPr>
                <w:noProof/>
                <w:webHidden/>
              </w:rPr>
              <w:t>6</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5" w:history="1">
            <w:r w:rsidR="00181A84" w:rsidRPr="005D795F">
              <w:rPr>
                <w:rStyle w:val="Hyperlink"/>
                <w:noProof/>
              </w:rPr>
              <w:t>CONSUMPTION SCENARIOS TABS A, B, and C</w:t>
            </w:r>
            <w:r w:rsidR="00181A84">
              <w:rPr>
                <w:noProof/>
                <w:webHidden/>
              </w:rPr>
              <w:tab/>
            </w:r>
            <w:r w:rsidR="00181A84">
              <w:rPr>
                <w:noProof/>
                <w:webHidden/>
              </w:rPr>
              <w:fldChar w:fldCharType="begin"/>
            </w:r>
            <w:r w:rsidR="00181A84">
              <w:rPr>
                <w:noProof/>
                <w:webHidden/>
              </w:rPr>
              <w:instrText xml:space="preserve"> PAGEREF _Toc414355335 \h </w:instrText>
            </w:r>
            <w:r w:rsidR="00181A84">
              <w:rPr>
                <w:noProof/>
                <w:webHidden/>
              </w:rPr>
            </w:r>
            <w:r w:rsidR="00181A84">
              <w:rPr>
                <w:noProof/>
                <w:webHidden/>
              </w:rPr>
              <w:fldChar w:fldCharType="separate"/>
            </w:r>
            <w:r w:rsidR="00CF49FD">
              <w:rPr>
                <w:noProof/>
                <w:webHidden/>
              </w:rPr>
              <w:t>6</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6" w:history="1">
            <w:r w:rsidR="00181A84" w:rsidRPr="005D795F">
              <w:rPr>
                <w:rStyle w:val="Hyperlink"/>
                <w:noProof/>
              </w:rPr>
              <w:t>BASELINE TAB</w:t>
            </w:r>
            <w:r w:rsidR="00181A84">
              <w:rPr>
                <w:noProof/>
                <w:webHidden/>
              </w:rPr>
              <w:tab/>
            </w:r>
            <w:r w:rsidR="00181A84">
              <w:rPr>
                <w:noProof/>
                <w:webHidden/>
              </w:rPr>
              <w:fldChar w:fldCharType="begin"/>
            </w:r>
            <w:r w:rsidR="00181A84">
              <w:rPr>
                <w:noProof/>
                <w:webHidden/>
              </w:rPr>
              <w:instrText xml:space="preserve"> PAGEREF _Toc414355336 \h </w:instrText>
            </w:r>
            <w:r w:rsidR="00181A84">
              <w:rPr>
                <w:noProof/>
                <w:webHidden/>
              </w:rPr>
            </w:r>
            <w:r w:rsidR="00181A84">
              <w:rPr>
                <w:noProof/>
                <w:webHidden/>
              </w:rPr>
              <w:fldChar w:fldCharType="separate"/>
            </w:r>
            <w:r w:rsidR="00CF49FD">
              <w:rPr>
                <w:noProof/>
                <w:webHidden/>
              </w:rPr>
              <w:t>6</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7" w:history="1">
            <w:r w:rsidR="00181A84" w:rsidRPr="005D795F">
              <w:rPr>
                <w:rStyle w:val="Hyperlink"/>
                <w:noProof/>
              </w:rPr>
              <w:t>PRICE CHANGE TAB</w:t>
            </w:r>
            <w:r w:rsidR="00181A84">
              <w:rPr>
                <w:noProof/>
                <w:webHidden/>
              </w:rPr>
              <w:tab/>
            </w:r>
            <w:r w:rsidR="00181A84">
              <w:rPr>
                <w:noProof/>
                <w:webHidden/>
              </w:rPr>
              <w:fldChar w:fldCharType="begin"/>
            </w:r>
            <w:r w:rsidR="00181A84">
              <w:rPr>
                <w:noProof/>
                <w:webHidden/>
              </w:rPr>
              <w:instrText xml:space="preserve"> PAGEREF _Toc414355337 \h </w:instrText>
            </w:r>
            <w:r w:rsidR="00181A84">
              <w:rPr>
                <w:noProof/>
                <w:webHidden/>
              </w:rPr>
            </w:r>
            <w:r w:rsidR="00181A84">
              <w:rPr>
                <w:noProof/>
                <w:webHidden/>
              </w:rPr>
              <w:fldChar w:fldCharType="separate"/>
            </w:r>
            <w:r w:rsidR="00CF49FD">
              <w:rPr>
                <w:noProof/>
                <w:webHidden/>
              </w:rPr>
              <w:t>6</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8" w:history="1">
            <w:r w:rsidR="00181A84" w:rsidRPr="005D795F">
              <w:rPr>
                <w:rStyle w:val="Hyperlink"/>
                <w:noProof/>
              </w:rPr>
              <w:t>ADJUSTED PRICE TAB</w:t>
            </w:r>
            <w:r w:rsidR="00181A84">
              <w:rPr>
                <w:noProof/>
                <w:webHidden/>
              </w:rPr>
              <w:tab/>
            </w:r>
            <w:r w:rsidR="00181A84">
              <w:rPr>
                <w:noProof/>
                <w:webHidden/>
              </w:rPr>
              <w:fldChar w:fldCharType="begin"/>
            </w:r>
            <w:r w:rsidR="00181A84">
              <w:rPr>
                <w:noProof/>
                <w:webHidden/>
              </w:rPr>
              <w:instrText xml:space="preserve"> PAGEREF _Toc414355338 \h </w:instrText>
            </w:r>
            <w:r w:rsidR="00181A84">
              <w:rPr>
                <w:noProof/>
                <w:webHidden/>
              </w:rPr>
            </w:r>
            <w:r w:rsidR="00181A84">
              <w:rPr>
                <w:noProof/>
                <w:webHidden/>
              </w:rPr>
              <w:fldChar w:fldCharType="separate"/>
            </w:r>
            <w:r w:rsidR="00CF49FD">
              <w:rPr>
                <w:noProof/>
                <w:webHidden/>
              </w:rPr>
              <w:t>6</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39" w:history="1">
            <w:r w:rsidR="00181A84" w:rsidRPr="005D795F">
              <w:rPr>
                <w:rStyle w:val="Hyperlink"/>
                <w:noProof/>
              </w:rPr>
              <w:t>ADJUSTED CONSUMPTION TAB</w:t>
            </w:r>
            <w:r w:rsidR="00181A84">
              <w:rPr>
                <w:noProof/>
                <w:webHidden/>
              </w:rPr>
              <w:tab/>
            </w:r>
            <w:r w:rsidR="00181A84">
              <w:rPr>
                <w:noProof/>
                <w:webHidden/>
              </w:rPr>
              <w:fldChar w:fldCharType="begin"/>
            </w:r>
            <w:r w:rsidR="00181A84">
              <w:rPr>
                <w:noProof/>
                <w:webHidden/>
              </w:rPr>
              <w:instrText xml:space="preserve"> PAGEREF _Toc414355339 \h </w:instrText>
            </w:r>
            <w:r w:rsidR="00181A84">
              <w:rPr>
                <w:noProof/>
                <w:webHidden/>
              </w:rPr>
            </w:r>
            <w:r w:rsidR="00181A84">
              <w:rPr>
                <w:noProof/>
                <w:webHidden/>
              </w:rPr>
              <w:fldChar w:fldCharType="separate"/>
            </w:r>
            <w:r w:rsidR="00CF49FD">
              <w:rPr>
                <w:noProof/>
                <w:webHidden/>
              </w:rPr>
              <w:t>7</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40" w:history="1">
            <w:r w:rsidR="00181A84" w:rsidRPr="005D795F">
              <w:rPr>
                <w:rStyle w:val="Hyperlink"/>
                <w:noProof/>
              </w:rPr>
              <w:t>ADJUSTED EMISSIONS TAB</w:t>
            </w:r>
            <w:r w:rsidR="00181A84">
              <w:rPr>
                <w:noProof/>
                <w:webHidden/>
              </w:rPr>
              <w:tab/>
            </w:r>
            <w:r w:rsidR="00181A84">
              <w:rPr>
                <w:noProof/>
                <w:webHidden/>
              </w:rPr>
              <w:fldChar w:fldCharType="begin"/>
            </w:r>
            <w:r w:rsidR="00181A84">
              <w:rPr>
                <w:noProof/>
                <w:webHidden/>
              </w:rPr>
              <w:instrText xml:space="preserve"> PAGEREF _Toc414355340 \h </w:instrText>
            </w:r>
            <w:r w:rsidR="00181A84">
              <w:rPr>
                <w:noProof/>
                <w:webHidden/>
              </w:rPr>
            </w:r>
            <w:r w:rsidR="00181A84">
              <w:rPr>
                <w:noProof/>
                <w:webHidden/>
              </w:rPr>
              <w:fldChar w:fldCharType="separate"/>
            </w:r>
            <w:r w:rsidR="00CF49FD">
              <w:rPr>
                <w:noProof/>
                <w:webHidden/>
              </w:rPr>
              <w:t>7</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41" w:history="1">
            <w:r w:rsidR="00181A84" w:rsidRPr="005D795F">
              <w:rPr>
                <w:rStyle w:val="Hyperlink"/>
                <w:noProof/>
              </w:rPr>
              <w:t>ADJUSTED EXPENDITURES TAB</w:t>
            </w:r>
            <w:r w:rsidR="00181A84">
              <w:rPr>
                <w:noProof/>
                <w:webHidden/>
              </w:rPr>
              <w:tab/>
            </w:r>
            <w:r w:rsidR="00181A84">
              <w:rPr>
                <w:noProof/>
                <w:webHidden/>
              </w:rPr>
              <w:fldChar w:fldCharType="begin"/>
            </w:r>
            <w:r w:rsidR="00181A84">
              <w:rPr>
                <w:noProof/>
                <w:webHidden/>
              </w:rPr>
              <w:instrText xml:space="preserve"> PAGEREF _Toc414355341 \h </w:instrText>
            </w:r>
            <w:r w:rsidR="00181A84">
              <w:rPr>
                <w:noProof/>
                <w:webHidden/>
              </w:rPr>
            </w:r>
            <w:r w:rsidR="00181A84">
              <w:rPr>
                <w:noProof/>
                <w:webHidden/>
              </w:rPr>
              <w:fldChar w:fldCharType="separate"/>
            </w:r>
            <w:r w:rsidR="00CF49FD">
              <w:rPr>
                <w:noProof/>
                <w:webHidden/>
              </w:rPr>
              <w:t>7</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42" w:history="1">
            <w:r w:rsidR="00181A84" w:rsidRPr="005D795F">
              <w:rPr>
                <w:rStyle w:val="Hyperlink"/>
                <w:noProof/>
              </w:rPr>
              <w:t>REVENUE TAB</w:t>
            </w:r>
            <w:r w:rsidR="00181A84">
              <w:rPr>
                <w:noProof/>
                <w:webHidden/>
              </w:rPr>
              <w:tab/>
            </w:r>
            <w:r w:rsidR="00181A84">
              <w:rPr>
                <w:noProof/>
                <w:webHidden/>
              </w:rPr>
              <w:fldChar w:fldCharType="begin"/>
            </w:r>
            <w:r w:rsidR="00181A84">
              <w:rPr>
                <w:noProof/>
                <w:webHidden/>
              </w:rPr>
              <w:instrText xml:space="preserve"> PAGEREF _Toc414355342 \h </w:instrText>
            </w:r>
            <w:r w:rsidR="00181A84">
              <w:rPr>
                <w:noProof/>
                <w:webHidden/>
              </w:rPr>
            </w:r>
            <w:r w:rsidR="00181A84">
              <w:rPr>
                <w:noProof/>
                <w:webHidden/>
              </w:rPr>
              <w:fldChar w:fldCharType="separate"/>
            </w:r>
            <w:r w:rsidR="00CF49FD">
              <w:rPr>
                <w:noProof/>
                <w:webHidden/>
              </w:rPr>
              <w:t>7</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43" w:history="1">
            <w:r w:rsidR="00181A84" w:rsidRPr="005D795F">
              <w:rPr>
                <w:rStyle w:val="Hyperlink"/>
                <w:noProof/>
              </w:rPr>
              <w:t>VERSIONS TAB</w:t>
            </w:r>
            <w:r w:rsidR="00181A84">
              <w:rPr>
                <w:noProof/>
                <w:webHidden/>
              </w:rPr>
              <w:tab/>
            </w:r>
            <w:r w:rsidR="00181A84">
              <w:rPr>
                <w:noProof/>
                <w:webHidden/>
              </w:rPr>
              <w:fldChar w:fldCharType="begin"/>
            </w:r>
            <w:r w:rsidR="00181A84">
              <w:rPr>
                <w:noProof/>
                <w:webHidden/>
              </w:rPr>
              <w:instrText xml:space="preserve"> PAGEREF _Toc414355343 \h </w:instrText>
            </w:r>
            <w:r w:rsidR="00181A84">
              <w:rPr>
                <w:noProof/>
                <w:webHidden/>
              </w:rPr>
            </w:r>
            <w:r w:rsidR="00181A84">
              <w:rPr>
                <w:noProof/>
                <w:webHidden/>
              </w:rPr>
              <w:fldChar w:fldCharType="separate"/>
            </w:r>
            <w:r w:rsidR="00CF49FD">
              <w:rPr>
                <w:noProof/>
                <w:webHidden/>
              </w:rPr>
              <w:t>7</w:t>
            </w:r>
            <w:r w:rsidR="00181A84">
              <w:rPr>
                <w:noProof/>
                <w:webHidden/>
              </w:rPr>
              <w:fldChar w:fldCharType="end"/>
            </w:r>
          </w:hyperlink>
        </w:p>
        <w:p w:rsidR="00181A84" w:rsidRDefault="00EF6444" w:rsidP="00181A84">
          <w:pPr>
            <w:pStyle w:val="TOC2"/>
            <w:tabs>
              <w:tab w:val="right" w:leader="dot" w:pos="10214"/>
            </w:tabs>
            <w:rPr>
              <w:rFonts w:eastAsiaTheme="minorEastAsia"/>
              <w:noProof/>
            </w:rPr>
          </w:pPr>
          <w:hyperlink w:anchor="_Toc414355344" w:history="1">
            <w:r w:rsidR="00181A84" w:rsidRPr="005D795F">
              <w:rPr>
                <w:rStyle w:val="Hyperlink"/>
                <w:noProof/>
              </w:rPr>
              <w:t>UNITS TAB</w:t>
            </w:r>
            <w:r w:rsidR="00181A84">
              <w:rPr>
                <w:noProof/>
                <w:webHidden/>
              </w:rPr>
              <w:tab/>
            </w:r>
            <w:r w:rsidR="00181A84">
              <w:rPr>
                <w:noProof/>
                <w:webHidden/>
              </w:rPr>
              <w:fldChar w:fldCharType="begin"/>
            </w:r>
            <w:r w:rsidR="00181A84">
              <w:rPr>
                <w:noProof/>
                <w:webHidden/>
              </w:rPr>
              <w:instrText xml:space="preserve"> PAGEREF _Toc414355344 \h </w:instrText>
            </w:r>
            <w:r w:rsidR="00181A84">
              <w:rPr>
                <w:noProof/>
                <w:webHidden/>
              </w:rPr>
            </w:r>
            <w:r w:rsidR="00181A84">
              <w:rPr>
                <w:noProof/>
                <w:webHidden/>
              </w:rPr>
              <w:fldChar w:fldCharType="separate"/>
            </w:r>
            <w:r w:rsidR="00CF49FD">
              <w:rPr>
                <w:noProof/>
                <w:webHidden/>
              </w:rPr>
              <w:t>7</w:t>
            </w:r>
            <w:r w:rsidR="00181A84">
              <w:rPr>
                <w:noProof/>
                <w:webHidden/>
              </w:rPr>
              <w:fldChar w:fldCharType="end"/>
            </w:r>
          </w:hyperlink>
        </w:p>
        <w:p w:rsidR="00181A84" w:rsidRDefault="00EF6444" w:rsidP="00181A84">
          <w:pPr>
            <w:pStyle w:val="TOC1"/>
            <w:tabs>
              <w:tab w:val="right" w:leader="dot" w:pos="10214"/>
            </w:tabs>
            <w:rPr>
              <w:rFonts w:eastAsiaTheme="minorEastAsia"/>
              <w:noProof/>
            </w:rPr>
          </w:pPr>
          <w:hyperlink w:anchor="_Toc414355345" w:history="1">
            <w:r w:rsidR="00181A84" w:rsidRPr="005D795F">
              <w:rPr>
                <w:rStyle w:val="Hyperlink"/>
                <w:noProof/>
              </w:rPr>
              <w:t>CTAM 2015 WA ENERGY FORECAST</w:t>
            </w:r>
            <w:r w:rsidR="00181A84">
              <w:rPr>
                <w:noProof/>
                <w:webHidden/>
              </w:rPr>
              <w:tab/>
            </w:r>
            <w:r w:rsidR="00181A84">
              <w:rPr>
                <w:noProof/>
                <w:webHidden/>
              </w:rPr>
              <w:fldChar w:fldCharType="begin"/>
            </w:r>
            <w:r w:rsidR="00181A84">
              <w:rPr>
                <w:noProof/>
                <w:webHidden/>
              </w:rPr>
              <w:instrText xml:space="preserve"> PAGEREF _Toc414355345 \h </w:instrText>
            </w:r>
            <w:r w:rsidR="00181A84">
              <w:rPr>
                <w:noProof/>
                <w:webHidden/>
              </w:rPr>
            </w:r>
            <w:r w:rsidR="00181A84">
              <w:rPr>
                <w:noProof/>
                <w:webHidden/>
              </w:rPr>
              <w:fldChar w:fldCharType="separate"/>
            </w:r>
            <w:r w:rsidR="00CF49FD">
              <w:rPr>
                <w:noProof/>
                <w:webHidden/>
              </w:rPr>
              <w:t>8</w:t>
            </w:r>
            <w:r w:rsidR="00181A84">
              <w:rPr>
                <w:noProof/>
                <w:webHidden/>
              </w:rPr>
              <w:fldChar w:fldCharType="end"/>
            </w:r>
          </w:hyperlink>
        </w:p>
        <w:p w:rsidR="00181A84" w:rsidRDefault="00EF6444" w:rsidP="00181A84">
          <w:pPr>
            <w:pStyle w:val="TOC1"/>
            <w:tabs>
              <w:tab w:val="right" w:leader="dot" w:pos="10214"/>
            </w:tabs>
            <w:rPr>
              <w:rFonts w:eastAsiaTheme="minorEastAsia"/>
              <w:noProof/>
            </w:rPr>
          </w:pPr>
          <w:hyperlink w:anchor="_Toc414355346" w:history="1">
            <w:r w:rsidR="00181A84" w:rsidRPr="005D795F">
              <w:rPr>
                <w:rStyle w:val="Hyperlink"/>
                <w:noProof/>
              </w:rPr>
              <w:t>CTAM 2015 PRICE ELASTICITY</w:t>
            </w:r>
            <w:r w:rsidR="00181A84">
              <w:rPr>
                <w:noProof/>
                <w:webHidden/>
              </w:rPr>
              <w:tab/>
            </w:r>
            <w:r w:rsidR="00181A84">
              <w:rPr>
                <w:noProof/>
                <w:webHidden/>
              </w:rPr>
              <w:fldChar w:fldCharType="begin"/>
            </w:r>
            <w:r w:rsidR="00181A84">
              <w:rPr>
                <w:noProof/>
                <w:webHidden/>
              </w:rPr>
              <w:instrText xml:space="preserve"> PAGEREF _Toc414355346 \h </w:instrText>
            </w:r>
            <w:r w:rsidR="00181A84">
              <w:rPr>
                <w:noProof/>
                <w:webHidden/>
              </w:rPr>
            </w:r>
            <w:r w:rsidR="00181A84">
              <w:rPr>
                <w:noProof/>
                <w:webHidden/>
              </w:rPr>
              <w:fldChar w:fldCharType="separate"/>
            </w:r>
            <w:r w:rsidR="00CF49FD">
              <w:rPr>
                <w:noProof/>
                <w:webHidden/>
              </w:rPr>
              <w:t>9</w:t>
            </w:r>
            <w:r w:rsidR="00181A84">
              <w:rPr>
                <w:noProof/>
                <w:webHidden/>
              </w:rPr>
              <w:fldChar w:fldCharType="end"/>
            </w:r>
          </w:hyperlink>
        </w:p>
        <w:p w:rsidR="00181A84" w:rsidRDefault="00EF6444" w:rsidP="00181A84">
          <w:pPr>
            <w:pStyle w:val="TOC1"/>
            <w:tabs>
              <w:tab w:val="right" w:leader="dot" w:pos="10214"/>
            </w:tabs>
            <w:spacing w:after="0"/>
            <w:rPr>
              <w:rFonts w:eastAsiaTheme="minorEastAsia"/>
              <w:noProof/>
            </w:rPr>
          </w:pPr>
          <w:hyperlink w:anchor="_Toc414355347" w:history="1">
            <w:r w:rsidR="00181A84" w:rsidRPr="005D795F">
              <w:rPr>
                <w:rStyle w:val="Hyperlink"/>
                <w:noProof/>
              </w:rPr>
              <w:t>CTAM AEO 2014 POLICIES and PROGRAMS</w:t>
            </w:r>
            <w:r w:rsidR="00181A84">
              <w:rPr>
                <w:noProof/>
                <w:webHidden/>
              </w:rPr>
              <w:tab/>
            </w:r>
            <w:r w:rsidR="00181A84">
              <w:rPr>
                <w:noProof/>
                <w:webHidden/>
              </w:rPr>
              <w:fldChar w:fldCharType="begin"/>
            </w:r>
            <w:r w:rsidR="00181A84">
              <w:rPr>
                <w:noProof/>
                <w:webHidden/>
              </w:rPr>
              <w:instrText xml:space="preserve"> PAGEREF _Toc414355347 \h </w:instrText>
            </w:r>
            <w:r w:rsidR="00181A84">
              <w:rPr>
                <w:noProof/>
                <w:webHidden/>
              </w:rPr>
            </w:r>
            <w:r w:rsidR="00181A84">
              <w:rPr>
                <w:noProof/>
                <w:webHidden/>
              </w:rPr>
              <w:fldChar w:fldCharType="separate"/>
            </w:r>
            <w:r w:rsidR="00CF49FD">
              <w:rPr>
                <w:noProof/>
                <w:webHidden/>
              </w:rPr>
              <w:t>9</w:t>
            </w:r>
            <w:r w:rsidR="00181A84">
              <w:rPr>
                <w:noProof/>
                <w:webHidden/>
              </w:rPr>
              <w:fldChar w:fldCharType="end"/>
            </w:r>
          </w:hyperlink>
        </w:p>
        <w:p w:rsidR="001C6F48" w:rsidRDefault="001C6F48" w:rsidP="00181A84">
          <w:r>
            <w:rPr>
              <w:b/>
              <w:bCs/>
              <w:noProof/>
            </w:rPr>
            <w:fldChar w:fldCharType="end"/>
          </w:r>
        </w:p>
      </w:sdtContent>
    </w:sdt>
    <w:p w:rsidR="001323D4" w:rsidRPr="00BD2CDE" w:rsidRDefault="001323D4" w:rsidP="00181A84">
      <w:pPr>
        <w:pStyle w:val="Heading1"/>
      </w:pPr>
      <w:bookmarkStart w:id="1" w:name="_Toc414355317"/>
      <w:r w:rsidRPr="00BD2CDE">
        <w:lastRenderedPageBreak/>
        <w:t>INTRODUCTION</w:t>
      </w:r>
      <w:bookmarkEnd w:id="1"/>
    </w:p>
    <w:p w:rsidR="001323D4" w:rsidRPr="001323D4" w:rsidRDefault="001323D4" w:rsidP="00181A84">
      <w:pPr>
        <w:shd w:val="clear" w:color="auto" w:fill="FFFFFF"/>
        <w:spacing w:after="0" w:line="270" w:lineRule="atLeast"/>
        <w:rPr>
          <w:rFonts w:eastAsia="Times New Roman" w:cs="Times New Roman"/>
          <w:color w:val="000000"/>
          <w:sz w:val="24"/>
          <w:szCs w:val="24"/>
        </w:rPr>
      </w:pPr>
      <w:r w:rsidRPr="001323D4">
        <w:rPr>
          <w:rFonts w:eastAsia="Times New Roman" w:cs="Times New Roman"/>
          <w:color w:val="000000"/>
          <w:sz w:val="24"/>
          <w:szCs w:val="24"/>
        </w:rPr>
        <w:t>The Carbon Tax Assessment Model (CTAM) is an open-source model that quantifies the greenhouse gas (GHG) and fiscal impacts of a carbon tax on the five primary energy sectors and helps provide policy recommendations for Washington State based on the model’s results. In 2011, Keibun Mori developed CTAM at the request of the Washington State Energy Office (WSEO) and to fulfill graduate school requirements at the University of Washington.</w:t>
      </w:r>
    </w:p>
    <w:p w:rsidR="001323D4" w:rsidRPr="001323D4" w:rsidRDefault="001323D4" w:rsidP="00181A84">
      <w:pPr>
        <w:shd w:val="clear" w:color="auto" w:fill="FFFFFF"/>
        <w:spacing w:after="0" w:line="270" w:lineRule="atLeast"/>
        <w:rPr>
          <w:rFonts w:eastAsia="Times New Roman" w:cs="Times New Roman"/>
          <w:color w:val="000000"/>
          <w:sz w:val="24"/>
          <w:szCs w:val="24"/>
        </w:rPr>
      </w:pPr>
      <w:r w:rsidRPr="001323D4">
        <w:rPr>
          <w:rFonts w:eastAsia="Times New Roman" w:cs="Times New Roman"/>
          <w:color w:val="000000"/>
          <w:sz w:val="24"/>
          <w:szCs w:val="24"/>
        </w:rPr>
        <w:t> </w:t>
      </w:r>
    </w:p>
    <w:p w:rsidR="001323D4" w:rsidRPr="001323D4" w:rsidRDefault="001323D4" w:rsidP="00181A84">
      <w:pPr>
        <w:shd w:val="clear" w:color="auto" w:fill="FFFFFF"/>
        <w:spacing w:after="0" w:line="270" w:lineRule="atLeast"/>
        <w:rPr>
          <w:rFonts w:eastAsia="Times New Roman" w:cs="Times New Roman"/>
          <w:color w:val="000000"/>
          <w:sz w:val="24"/>
          <w:szCs w:val="24"/>
        </w:rPr>
      </w:pPr>
      <w:r w:rsidRPr="001323D4">
        <w:rPr>
          <w:rFonts w:eastAsia="Times New Roman" w:cs="Times New Roman"/>
          <w:color w:val="000000"/>
          <w:sz w:val="24"/>
          <w:szCs w:val="24"/>
        </w:rPr>
        <w:t xml:space="preserve">Since its development, the model has been maintained and enhanced by WSEO staff within the Washington State Department of Commerce (Commerce). The March 2015 update was undertaken by Mori, </w:t>
      </w:r>
      <w:proofErr w:type="spellStart"/>
      <w:r w:rsidRPr="001323D4">
        <w:rPr>
          <w:rFonts w:eastAsia="Times New Roman" w:cs="Times New Roman"/>
          <w:color w:val="000000"/>
          <w:sz w:val="24"/>
          <w:szCs w:val="24"/>
        </w:rPr>
        <w:t>Hammerschlag</w:t>
      </w:r>
      <w:proofErr w:type="spellEnd"/>
      <w:r w:rsidRPr="001323D4">
        <w:rPr>
          <w:rFonts w:eastAsia="Times New Roman" w:cs="Times New Roman"/>
          <w:color w:val="000000"/>
          <w:sz w:val="24"/>
          <w:szCs w:val="24"/>
        </w:rPr>
        <w:t xml:space="preserve"> &amp; Co., and WSEO staff</w:t>
      </w:r>
      <w:r w:rsidR="00C25A61">
        <w:rPr>
          <w:rFonts w:eastAsia="Times New Roman" w:cs="Times New Roman"/>
          <w:color w:val="000000"/>
          <w:sz w:val="24"/>
          <w:szCs w:val="24"/>
        </w:rPr>
        <w:t>. It</w:t>
      </w:r>
      <w:r w:rsidRPr="001323D4">
        <w:rPr>
          <w:rFonts w:eastAsia="Times New Roman" w:cs="Times New Roman"/>
          <w:color w:val="000000"/>
          <w:sz w:val="24"/>
          <w:szCs w:val="24"/>
        </w:rPr>
        <w:t xml:space="preserve"> is the most extensive </w:t>
      </w:r>
      <w:r w:rsidR="00B34F06">
        <w:rPr>
          <w:rFonts w:eastAsia="Times New Roman" w:cs="Times New Roman"/>
          <w:color w:val="000000"/>
          <w:sz w:val="24"/>
          <w:szCs w:val="24"/>
        </w:rPr>
        <w:t xml:space="preserve">update </w:t>
      </w:r>
      <w:r w:rsidRPr="001323D4">
        <w:rPr>
          <w:rFonts w:eastAsia="Times New Roman" w:cs="Times New Roman"/>
          <w:color w:val="000000"/>
          <w:sz w:val="24"/>
          <w:szCs w:val="24"/>
        </w:rPr>
        <w:t>yet.</w:t>
      </w:r>
    </w:p>
    <w:p w:rsidR="001323D4" w:rsidRPr="001323D4" w:rsidRDefault="001323D4" w:rsidP="00181A84">
      <w:pPr>
        <w:shd w:val="clear" w:color="auto" w:fill="FFFFFF"/>
        <w:spacing w:after="0" w:line="270" w:lineRule="atLeast"/>
        <w:rPr>
          <w:rFonts w:eastAsia="Times New Roman" w:cs="Times New Roman"/>
          <w:color w:val="000000"/>
          <w:sz w:val="24"/>
          <w:szCs w:val="24"/>
        </w:rPr>
      </w:pPr>
      <w:r w:rsidRPr="001323D4">
        <w:rPr>
          <w:rFonts w:eastAsia="Times New Roman" w:cs="Times New Roman"/>
          <w:color w:val="000000"/>
          <w:sz w:val="24"/>
          <w:szCs w:val="24"/>
        </w:rPr>
        <w:t> </w:t>
      </w:r>
    </w:p>
    <w:p w:rsidR="001323D4" w:rsidRPr="001323D4" w:rsidRDefault="001323D4" w:rsidP="00181A84">
      <w:pPr>
        <w:shd w:val="clear" w:color="auto" w:fill="FFFFFF"/>
        <w:spacing w:after="0" w:line="270" w:lineRule="atLeast"/>
        <w:rPr>
          <w:rFonts w:eastAsia="Times New Roman" w:cs="Times New Roman"/>
          <w:color w:val="000000"/>
          <w:sz w:val="24"/>
          <w:szCs w:val="24"/>
        </w:rPr>
      </w:pPr>
      <w:r w:rsidRPr="001323D4">
        <w:rPr>
          <w:rFonts w:eastAsia="Times New Roman" w:cs="Times New Roman"/>
          <w:color w:val="000000"/>
          <w:sz w:val="24"/>
          <w:szCs w:val="24"/>
        </w:rPr>
        <w:t xml:space="preserve">The following new features have been added to CTAM 3.0. In general, these are optional and variable features reflecting potential </w:t>
      </w:r>
      <w:r w:rsidR="00BE5925">
        <w:rPr>
          <w:rFonts w:eastAsia="Times New Roman" w:cs="Times New Roman"/>
          <w:color w:val="000000"/>
          <w:sz w:val="24"/>
          <w:szCs w:val="24"/>
        </w:rPr>
        <w:t>complementary</w:t>
      </w:r>
      <w:r w:rsidR="00F44AEA">
        <w:rPr>
          <w:rFonts w:eastAsia="Times New Roman" w:cs="Times New Roman"/>
          <w:color w:val="000000"/>
          <w:sz w:val="24"/>
          <w:szCs w:val="24"/>
        </w:rPr>
        <w:t xml:space="preserve"> policy measures</w:t>
      </w:r>
      <w:r w:rsidRPr="001323D4">
        <w:rPr>
          <w:rFonts w:eastAsia="Times New Roman" w:cs="Times New Roman"/>
          <w:color w:val="000000"/>
          <w:sz w:val="24"/>
          <w:szCs w:val="24"/>
        </w:rPr>
        <w:t xml:space="preserve"> to a carbon tax:</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 xml:space="preserve">The price elasticity of demand and proration tables </w:t>
      </w:r>
      <w:r w:rsidR="009E1367">
        <w:rPr>
          <w:rFonts w:eastAsia="Times New Roman" w:cs="Times New Roman"/>
          <w:color w:val="000000"/>
          <w:sz w:val="24"/>
          <w:szCs w:val="24"/>
        </w:rPr>
        <w:t>for fuels in CTAM have</w:t>
      </w:r>
      <w:r w:rsidRPr="00BD2CDE">
        <w:rPr>
          <w:rFonts w:eastAsia="Times New Roman" w:cs="Times New Roman"/>
          <w:color w:val="000000"/>
          <w:sz w:val="24"/>
          <w:szCs w:val="24"/>
        </w:rPr>
        <w:t xml:space="preserve"> been updated.</w:t>
      </w:r>
    </w:p>
    <w:p w:rsidR="001323D4" w:rsidRPr="00BD2CDE" w:rsidRDefault="009E1367"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Pr>
          <w:rFonts w:eastAsia="Times New Roman" w:cs="Times New Roman"/>
          <w:color w:val="000000"/>
          <w:sz w:val="24"/>
          <w:szCs w:val="24"/>
        </w:rPr>
        <w:t>Industrial process emissions can</w:t>
      </w:r>
      <w:r w:rsidR="001323D4" w:rsidRPr="00BD2CDE">
        <w:rPr>
          <w:rFonts w:eastAsia="Times New Roman" w:cs="Times New Roman"/>
          <w:color w:val="000000"/>
          <w:sz w:val="24"/>
          <w:szCs w:val="24"/>
        </w:rPr>
        <w:t xml:space="preserve"> now </w:t>
      </w:r>
      <w:r>
        <w:rPr>
          <w:rFonts w:eastAsia="Times New Roman" w:cs="Times New Roman"/>
          <w:color w:val="000000"/>
          <w:sz w:val="24"/>
          <w:szCs w:val="24"/>
        </w:rPr>
        <w:t xml:space="preserve">be </w:t>
      </w:r>
      <w:r w:rsidR="001323D4" w:rsidRPr="00BD2CDE">
        <w:rPr>
          <w:rFonts w:eastAsia="Times New Roman" w:cs="Times New Roman"/>
          <w:color w:val="000000"/>
          <w:sz w:val="24"/>
          <w:szCs w:val="24"/>
        </w:rPr>
        <w:t>included in the model.</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Electricity sector emissions are now consumption based instead of generation based.</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 xml:space="preserve">Optional and variable reductions to any of the five primary energy consuming sectors reflecting </w:t>
      </w:r>
      <w:r w:rsidR="00F14C5C">
        <w:rPr>
          <w:rFonts w:eastAsia="Times New Roman" w:cs="Times New Roman"/>
          <w:color w:val="000000"/>
          <w:sz w:val="24"/>
          <w:szCs w:val="24"/>
        </w:rPr>
        <w:t>complementary</w:t>
      </w:r>
      <w:r w:rsidRPr="00BD2CDE">
        <w:rPr>
          <w:rFonts w:eastAsia="Times New Roman" w:cs="Times New Roman"/>
          <w:color w:val="000000"/>
          <w:sz w:val="24"/>
          <w:szCs w:val="24"/>
        </w:rPr>
        <w:t xml:space="preserve"> GHG reduction policies that are not part of the carbon tax.</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Optional supplemental fuel tax, reflecting a variable increase in state or federal transportation fuel taxes.</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 xml:space="preserve">Optional Low Carbon Fuel Standard (LCFS) can be added as a </w:t>
      </w:r>
      <w:r w:rsidR="00F14C5C">
        <w:rPr>
          <w:rFonts w:eastAsia="Times New Roman" w:cs="Times New Roman"/>
          <w:color w:val="000000"/>
          <w:sz w:val="24"/>
          <w:szCs w:val="24"/>
        </w:rPr>
        <w:t>complementary</w:t>
      </w:r>
      <w:r w:rsidRPr="00BD2CDE">
        <w:rPr>
          <w:rFonts w:eastAsia="Times New Roman" w:cs="Times New Roman"/>
          <w:color w:val="000000"/>
          <w:sz w:val="24"/>
          <w:szCs w:val="24"/>
        </w:rPr>
        <w:t xml:space="preserve"> policy, similar in design to the California LCFS.</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Optional early and variable shutdown of out-of state coal-fired electricity generation.</w:t>
      </w:r>
    </w:p>
    <w:p w:rsidR="001323D4" w:rsidRPr="00BD2CDE" w:rsidRDefault="001323D4" w:rsidP="00181A84">
      <w:pPr>
        <w:pStyle w:val="ListParagraph"/>
        <w:numPr>
          <w:ilvl w:val="0"/>
          <w:numId w:val="2"/>
        </w:numPr>
        <w:shd w:val="clear" w:color="auto" w:fill="FFFFFF"/>
        <w:spacing w:before="100" w:beforeAutospacing="1" w:after="100" w:afterAutospacing="1" w:line="270" w:lineRule="atLeast"/>
        <w:rPr>
          <w:rFonts w:eastAsia="Times New Roman" w:cs="Times New Roman"/>
          <w:color w:val="000000"/>
          <w:sz w:val="24"/>
          <w:szCs w:val="24"/>
        </w:rPr>
      </w:pPr>
      <w:r w:rsidRPr="00BD2CDE">
        <w:rPr>
          <w:rFonts w:eastAsia="Times New Roman" w:cs="Times New Roman"/>
          <w:color w:val="000000"/>
          <w:sz w:val="24"/>
          <w:szCs w:val="24"/>
        </w:rPr>
        <w:t>Optional and variable increase in electric vehicle market penetration rate.</w:t>
      </w:r>
    </w:p>
    <w:p w:rsidR="001323D4" w:rsidRPr="001323D4" w:rsidRDefault="001323D4" w:rsidP="00181A84">
      <w:pPr>
        <w:shd w:val="clear" w:color="auto" w:fill="FFFFFF"/>
        <w:spacing w:after="100" w:afterAutospacing="1" w:line="270" w:lineRule="atLeast"/>
        <w:rPr>
          <w:rFonts w:eastAsia="Times New Roman" w:cs="Times New Roman"/>
          <w:color w:val="000000"/>
          <w:sz w:val="24"/>
          <w:szCs w:val="24"/>
        </w:rPr>
      </w:pPr>
      <w:r w:rsidRPr="001323D4">
        <w:rPr>
          <w:rFonts w:eastAsia="Times New Roman" w:cs="Times New Roman"/>
          <w:color w:val="000000"/>
          <w:sz w:val="24"/>
          <w:szCs w:val="24"/>
        </w:rPr>
        <w:t xml:space="preserve">The graphics and tables on the </w:t>
      </w:r>
      <w:r w:rsidR="009E1367">
        <w:rPr>
          <w:rFonts w:eastAsia="Times New Roman" w:cs="Times New Roman"/>
          <w:color w:val="000000"/>
          <w:sz w:val="24"/>
          <w:szCs w:val="24"/>
        </w:rPr>
        <w:t>dashboard tab have been enhanced</w:t>
      </w:r>
      <w:r w:rsidRPr="001323D4">
        <w:rPr>
          <w:rFonts w:eastAsia="Times New Roman" w:cs="Times New Roman"/>
          <w:color w:val="000000"/>
          <w:sz w:val="24"/>
          <w:szCs w:val="24"/>
        </w:rPr>
        <w:t xml:space="preserve">. The newest version is designated CTAM 3.0. The model is currently using the </w:t>
      </w:r>
      <w:hyperlink r:id="rId14" w:tgtFrame="_blank" w:history="1">
        <w:r w:rsidRPr="001323D4">
          <w:rPr>
            <w:rFonts w:eastAsia="Times New Roman" w:cs="Times New Roman"/>
            <w:color w:val="043464"/>
            <w:sz w:val="24"/>
            <w:szCs w:val="24"/>
            <w:bdr w:val="none" w:sz="0" w:space="0" w:color="auto" w:frame="1"/>
          </w:rPr>
          <w:t>Energy Information Administration’s 2014 Annual Energy Outlook (AEO)</w:t>
        </w:r>
      </w:hyperlink>
      <w:r w:rsidR="00A85C0F">
        <w:rPr>
          <w:rStyle w:val="FootnoteReference"/>
          <w:rFonts w:eastAsia="Times New Roman" w:cs="Times New Roman"/>
          <w:color w:val="043464"/>
          <w:sz w:val="24"/>
          <w:szCs w:val="24"/>
          <w:bdr w:val="none" w:sz="0" w:space="0" w:color="auto" w:frame="1"/>
        </w:rPr>
        <w:footnoteReference w:id="1"/>
      </w:r>
      <w:r w:rsidRPr="001323D4">
        <w:rPr>
          <w:rFonts w:eastAsia="Times New Roman" w:cs="Times New Roman"/>
          <w:color w:val="000000"/>
          <w:sz w:val="24"/>
          <w:szCs w:val="24"/>
        </w:rPr>
        <w:t xml:space="preserve"> reference case as the basis for forecasting future Washington State energy consumption. CTAM</w:t>
      </w:r>
      <w:r w:rsidR="00A875F8">
        <w:rPr>
          <w:rFonts w:eastAsia="Times New Roman" w:cs="Times New Roman"/>
          <w:color w:val="000000"/>
          <w:sz w:val="24"/>
          <w:szCs w:val="24"/>
        </w:rPr>
        <w:t xml:space="preserve"> 3.0</w:t>
      </w:r>
      <w:r w:rsidRPr="001323D4">
        <w:rPr>
          <w:rFonts w:eastAsia="Times New Roman" w:cs="Times New Roman"/>
          <w:color w:val="000000"/>
          <w:sz w:val="24"/>
          <w:szCs w:val="24"/>
        </w:rPr>
        <w:t xml:space="preserve"> will be updated with the </w:t>
      </w:r>
      <w:r w:rsidR="009E1367">
        <w:rPr>
          <w:rFonts w:eastAsia="Times New Roman" w:cs="Times New Roman"/>
          <w:color w:val="000000"/>
          <w:sz w:val="24"/>
          <w:szCs w:val="24"/>
        </w:rPr>
        <w:t xml:space="preserve">EIA’s </w:t>
      </w:r>
      <w:r w:rsidRPr="001323D4">
        <w:rPr>
          <w:rFonts w:eastAsia="Times New Roman" w:cs="Times New Roman"/>
          <w:color w:val="000000"/>
          <w:sz w:val="24"/>
          <w:szCs w:val="24"/>
        </w:rPr>
        <w:t>2015 AEO reference case when it becomes available during the spring of 2015. CTAM is setup for the state of Washington, but it can easily be adapted for other states.</w:t>
      </w:r>
    </w:p>
    <w:p w:rsidR="001323D4" w:rsidRPr="00BD2CDE" w:rsidRDefault="001323D4" w:rsidP="00181A84">
      <w:pPr>
        <w:rPr>
          <w:sz w:val="24"/>
          <w:szCs w:val="24"/>
        </w:rPr>
      </w:pPr>
      <w:r w:rsidRPr="00BD2CDE">
        <w:rPr>
          <w:sz w:val="24"/>
          <w:szCs w:val="24"/>
        </w:rPr>
        <w:t xml:space="preserve">Because CTAM has become more complex, </w:t>
      </w:r>
      <w:r w:rsidR="00A875F8">
        <w:rPr>
          <w:sz w:val="24"/>
          <w:szCs w:val="24"/>
        </w:rPr>
        <w:t xml:space="preserve">two </w:t>
      </w:r>
      <w:r w:rsidR="007949C6">
        <w:rPr>
          <w:sz w:val="24"/>
          <w:szCs w:val="24"/>
        </w:rPr>
        <w:t>sub-</w:t>
      </w:r>
      <w:r w:rsidR="00A875F8">
        <w:rPr>
          <w:sz w:val="24"/>
          <w:szCs w:val="24"/>
        </w:rPr>
        <w:t xml:space="preserve">sections of the original </w:t>
      </w:r>
      <w:r w:rsidR="007949C6">
        <w:rPr>
          <w:sz w:val="24"/>
          <w:szCs w:val="24"/>
        </w:rPr>
        <w:t>model have been separated from the updated model and now reside in separate spreadsheets</w:t>
      </w:r>
      <w:r w:rsidR="00652316">
        <w:rPr>
          <w:sz w:val="24"/>
          <w:szCs w:val="24"/>
        </w:rPr>
        <w:t>: CTAM 2015 WA Energy Forecast and CTAM 2015 Price Elasticity</w:t>
      </w:r>
      <w:r w:rsidR="007949C6">
        <w:rPr>
          <w:sz w:val="24"/>
          <w:szCs w:val="24"/>
        </w:rPr>
        <w:t>. T</w:t>
      </w:r>
      <w:r w:rsidRPr="00BD2CDE">
        <w:rPr>
          <w:sz w:val="24"/>
          <w:szCs w:val="24"/>
        </w:rPr>
        <w:t>he Energy Office has developed a</w:t>
      </w:r>
      <w:r w:rsidR="007949C6">
        <w:rPr>
          <w:sz w:val="24"/>
          <w:szCs w:val="24"/>
        </w:rPr>
        <w:t xml:space="preserve"> short CTAM user’s manual, which </w:t>
      </w:r>
      <w:r w:rsidR="007949C6" w:rsidRPr="00BD2CDE">
        <w:rPr>
          <w:sz w:val="24"/>
          <w:szCs w:val="24"/>
        </w:rPr>
        <w:t>briefly</w:t>
      </w:r>
      <w:r w:rsidRPr="00BD2CDE">
        <w:rPr>
          <w:sz w:val="24"/>
          <w:szCs w:val="24"/>
        </w:rPr>
        <w:t xml:space="preserve"> describes </w:t>
      </w:r>
      <w:r w:rsidR="00652316">
        <w:rPr>
          <w:sz w:val="24"/>
          <w:szCs w:val="24"/>
        </w:rPr>
        <w:t>key fea</w:t>
      </w:r>
      <w:r w:rsidR="009E1367">
        <w:rPr>
          <w:sz w:val="24"/>
          <w:szCs w:val="24"/>
        </w:rPr>
        <w:t>tures of CTAM 3.0a and the two supporting</w:t>
      </w:r>
      <w:r w:rsidR="00652316">
        <w:rPr>
          <w:sz w:val="24"/>
          <w:szCs w:val="24"/>
        </w:rPr>
        <w:t xml:space="preserve"> spreadsheets</w:t>
      </w:r>
      <w:r w:rsidRPr="00BD2CDE">
        <w:rPr>
          <w:sz w:val="24"/>
          <w:szCs w:val="24"/>
        </w:rPr>
        <w:t>.</w:t>
      </w:r>
    </w:p>
    <w:p w:rsidR="00181A84" w:rsidRDefault="00181A84" w:rsidP="00181A84">
      <w:pPr>
        <w:pStyle w:val="Heading1"/>
      </w:pPr>
      <w:bookmarkStart w:id="2" w:name="_Toc414355318"/>
    </w:p>
    <w:p w:rsidR="00181A84" w:rsidRDefault="00181A84" w:rsidP="00181A84">
      <w:pPr>
        <w:pStyle w:val="Heading1"/>
      </w:pPr>
      <w:r>
        <w:br w:type="page"/>
      </w:r>
    </w:p>
    <w:p w:rsidR="007949C6" w:rsidRPr="00D97073" w:rsidRDefault="007949C6" w:rsidP="00181A84">
      <w:pPr>
        <w:pStyle w:val="Heading1"/>
        <w:rPr>
          <w:sz w:val="32"/>
          <w:szCs w:val="32"/>
        </w:rPr>
      </w:pPr>
      <w:r w:rsidRPr="00D97073">
        <w:rPr>
          <w:sz w:val="32"/>
          <w:szCs w:val="32"/>
        </w:rPr>
        <w:lastRenderedPageBreak/>
        <w:t>CTAM 3.0</w:t>
      </w:r>
      <w:r w:rsidR="00AD2748" w:rsidRPr="00D97073">
        <w:rPr>
          <w:sz w:val="32"/>
          <w:szCs w:val="32"/>
        </w:rPr>
        <w:t>a</w:t>
      </w:r>
      <w:bookmarkEnd w:id="2"/>
    </w:p>
    <w:p w:rsidR="007949C6" w:rsidRDefault="007949C6" w:rsidP="00181A84">
      <w:pPr>
        <w:spacing w:after="0"/>
        <w:rPr>
          <w:sz w:val="24"/>
          <w:szCs w:val="24"/>
        </w:rPr>
      </w:pPr>
      <w:r>
        <w:rPr>
          <w:sz w:val="24"/>
          <w:szCs w:val="24"/>
        </w:rPr>
        <w:t>The primary modeling spreadsheet is designated CTAM 3.0</w:t>
      </w:r>
      <w:r w:rsidR="00AD2748">
        <w:rPr>
          <w:sz w:val="24"/>
          <w:szCs w:val="24"/>
        </w:rPr>
        <w:t>a</w:t>
      </w:r>
      <w:r>
        <w:rPr>
          <w:sz w:val="24"/>
          <w:szCs w:val="24"/>
        </w:rPr>
        <w:t xml:space="preserve"> and contains all the commonly used features of CTAM.</w:t>
      </w:r>
      <w:r w:rsidR="00652316">
        <w:rPr>
          <w:sz w:val="24"/>
          <w:szCs w:val="24"/>
        </w:rPr>
        <w:t xml:space="preserve"> A number of new features have been added relative to previous version, CTAM 2.5.</w:t>
      </w:r>
    </w:p>
    <w:p w:rsidR="001323D4" w:rsidRPr="00BD2CDE" w:rsidRDefault="001323D4" w:rsidP="00181A84">
      <w:pPr>
        <w:pStyle w:val="Heading2"/>
      </w:pPr>
      <w:bookmarkStart w:id="3" w:name="_Toc414355319"/>
      <w:r w:rsidRPr="00BD2CDE">
        <w:t>COVER TAB</w:t>
      </w:r>
      <w:bookmarkEnd w:id="3"/>
    </w:p>
    <w:p w:rsidR="001323D4" w:rsidRPr="00BD2CDE" w:rsidRDefault="001323D4" w:rsidP="00181A84">
      <w:pPr>
        <w:rPr>
          <w:sz w:val="24"/>
          <w:szCs w:val="24"/>
        </w:rPr>
      </w:pPr>
      <w:r w:rsidRPr="00BD2CDE">
        <w:rPr>
          <w:sz w:val="24"/>
          <w:szCs w:val="24"/>
        </w:rPr>
        <w:t>The cover tab provides the contact information for the version 3</w:t>
      </w:r>
      <w:r w:rsidR="00AD2748">
        <w:rPr>
          <w:sz w:val="24"/>
          <w:szCs w:val="24"/>
        </w:rPr>
        <w:t>.0a</w:t>
      </w:r>
      <w:r w:rsidRPr="00BD2CDE">
        <w:rPr>
          <w:sz w:val="24"/>
          <w:szCs w:val="24"/>
        </w:rPr>
        <w:t xml:space="preserve"> model. On this page is a table of contents with </w:t>
      </w:r>
      <w:r w:rsidR="00652316">
        <w:rPr>
          <w:sz w:val="24"/>
          <w:szCs w:val="24"/>
        </w:rPr>
        <w:t xml:space="preserve">active </w:t>
      </w:r>
      <w:r w:rsidRPr="00BD2CDE">
        <w:rPr>
          <w:sz w:val="24"/>
          <w:szCs w:val="24"/>
        </w:rPr>
        <w:t>links to other worksheets (tabs). Finally, located towards the bottom is a style key and brief methodology notes.</w:t>
      </w:r>
    </w:p>
    <w:p w:rsidR="001323D4" w:rsidRPr="00BD2CDE" w:rsidRDefault="001323D4" w:rsidP="00181A84">
      <w:pPr>
        <w:pStyle w:val="Heading2"/>
      </w:pPr>
      <w:bookmarkStart w:id="4" w:name="_Toc414355320"/>
      <w:r w:rsidRPr="00BD2CDE">
        <w:t>DASHBOARD TAB</w:t>
      </w:r>
      <w:bookmarkEnd w:id="4"/>
    </w:p>
    <w:p w:rsidR="001323D4" w:rsidRPr="00BD2CDE" w:rsidRDefault="00652316" w:rsidP="00181A84">
      <w:pPr>
        <w:rPr>
          <w:sz w:val="24"/>
          <w:szCs w:val="24"/>
        </w:rPr>
      </w:pPr>
      <w:r>
        <w:rPr>
          <w:sz w:val="24"/>
          <w:szCs w:val="24"/>
        </w:rPr>
        <w:t>CTAM u</w:t>
      </w:r>
      <w:r w:rsidR="001323D4" w:rsidRPr="00BD2CDE">
        <w:rPr>
          <w:sz w:val="24"/>
          <w:szCs w:val="24"/>
        </w:rPr>
        <w:t>sers will spend most of their time on the dashboard tab. It controls most of the variable inputs for the model. The key sections of this tab are:</w:t>
      </w:r>
    </w:p>
    <w:p w:rsidR="001323D4" w:rsidRPr="00BD2CDE" w:rsidRDefault="001323D4" w:rsidP="00181A84">
      <w:pPr>
        <w:pStyle w:val="Heading3"/>
      </w:pPr>
      <w:bookmarkStart w:id="5" w:name="_Toc414355321"/>
      <w:r w:rsidRPr="00BD2CDE">
        <w:t>Subsection 1: Defining the carbon tax</w:t>
      </w:r>
      <w:bookmarkEnd w:id="5"/>
    </w:p>
    <w:p w:rsidR="001323D4" w:rsidRPr="00BD2CDE" w:rsidRDefault="001323D4" w:rsidP="00181A84">
      <w:pPr>
        <w:ind w:left="720"/>
        <w:rPr>
          <w:sz w:val="24"/>
          <w:szCs w:val="24"/>
        </w:rPr>
      </w:pPr>
      <w:r w:rsidRPr="00BD2CDE">
        <w:rPr>
          <w:sz w:val="24"/>
          <w:szCs w:val="24"/>
        </w:rPr>
        <w:t>The user input cells allow for setting the carbon tax start date, ini</w:t>
      </w:r>
      <w:r w:rsidR="00C217F4">
        <w:rPr>
          <w:sz w:val="24"/>
          <w:szCs w:val="24"/>
        </w:rPr>
        <w:t xml:space="preserve">tial tax rate, annual incremental increase in the tax </w:t>
      </w:r>
      <w:r w:rsidR="00BB50A9">
        <w:rPr>
          <w:sz w:val="24"/>
          <w:szCs w:val="24"/>
        </w:rPr>
        <w:t>(</w:t>
      </w:r>
      <w:r w:rsidR="00652316">
        <w:rPr>
          <w:sz w:val="24"/>
          <w:szCs w:val="24"/>
        </w:rPr>
        <w:t xml:space="preserve">referred to as the </w:t>
      </w:r>
      <w:r w:rsidRPr="00BD2CDE">
        <w:rPr>
          <w:sz w:val="24"/>
          <w:szCs w:val="24"/>
        </w:rPr>
        <w:t>ramp rate), and</w:t>
      </w:r>
      <w:r w:rsidR="00C217F4">
        <w:rPr>
          <w:sz w:val="24"/>
          <w:szCs w:val="24"/>
        </w:rPr>
        <w:t xml:space="preserve"> the</w:t>
      </w:r>
      <w:r w:rsidRPr="00BD2CDE">
        <w:rPr>
          <w:sz w:val="24"/>
          <w:szCs w:val="24"/>
        </w:rPr>
        <w:t xml:space="preserve"> maximum tax rate. Default values are located in column C.</w:t>
      </w:r>
    </w:p>
    <w:p w:rsidR="001323D4" w:rsidRPr="00BD2CDE" w:rsidRDefault="001323D4" w:rsidP="00181A84">
      <w:pPr>
        <w:pStyle w:val="Heading3"/>
      </w:pPr>
      <w:bookmarkStart w:id="6" w:name="_Toc414355322"/>
      <w:r w:rsidRPr="00BD2CDE">
        <w:t>Subsection 2: Fate of carbon tax revenue</w:t>
      </w:r>
      <w:bookmarkEnd w:id="6"/>
    </w:p>
    <w:p w:rsidR="001323D4" w:rsidRPr="00BD2CDE" w:rsidRDefault="007B3510" w:rsidP="00181A84">
      <w:pPr>
        <w:ind w:left="720"/>
        <w:rPr>
          <w:sz w:val="24"/>
          <w:szCs w:val="24"/>
        </w:rPr>
      </w:pPr>
      <w:r>
        <w:rPr>
          <w:sz w:val="24"/>
          <w:szCs w:val="24"/>
        </w:rPr>
        <w:t xml:space="preserve">CTAM assumes carbon tax revenue neutrality, which means the </w:t>
      </w:r>
      <w:r w:rsidR="00652316">
        <w:rPr>
          <w:sz w:val="24"/>
          <w:szCs w:val="24"/>
        </w:rPr>
        <w:t xml:space="preserve">collected </w:t>
      </w:r>
      <w:r>
        <w:rPr>
          <w:sz w:val="24"/>
          <w:szCs w:val="24"/>
        </w:rPr>
        <w:t>revenue offsets existing taxes or is returned to consumers as a cash rebate. The</w:t>
      </w:r>
      <w:r w:rsidR="001323D4" w:rsidRPr="00BD2CDE">
        <w:rPr>
          <w:sz w:val="24"/>
          <w:szCs w:val="24"/>
        </w:rPr>
        <w:t xml:space="preserve"> user can assign the distribution of the carbon tax revenue. Choices include: property tax, sales tax offset, B&amp;O tax offset, cash rebate, state general fund, and a Clean Energy Trust fund. Default values are in column C.</w:t>
      </w:r>
    </w:p>
    <w:p w:rsidR="001323D4" w:rsidRPr="00BD2CDE" w:rsidRDefault="001323D4" w:rsidP="00181A84">
      <w:pPr>
        <w:pStyle w:val="Heading3"/>
      </w:pPr>
      <w:bookmarkStart w:id="7" w:name="_Toc414355323"/>
      <w:r w:rsidRPr="00BD2CDE">
        <w:t>Subsection 3: Model behavior</w:t>
      </w:r>
      <w:bookmarkEnd w:id="7"/>
    </w:p>
    <w:p w:rsidR="001323D4" w:rsidRPr="00BD2CDE" w:rsidRDefault="00A23DB7" w:rsidP="00181A84">
      <w:pPr>
        <w:ind w:left="720"/>
        <w:rPr>
          <w:sz w:val="24"/>
          <w:szCs w:val="24"/>
        </w:rPr>
      </w:pPr>
      <w:r w:rsidRPr="00BD2CDE">
        <w:rPr>
          <w:sz w:val="24"/>
          <w:szCs w:val="24"/>
        </w:rPr>
        <w:t xml:space="preserve">In this section the user can select from three baseline forecast options. CTAM will </w:t>
      </w:r>
      <w:r w:rsidR="00F860B5">
        <w:rPr>
          <w:sz w:val="24"/>
          <w:szCs w:val="24"/>
        </w:rPr>
        <w:t xml:space="preserve">eventually </w:t>
      </w:r>
      <w:r w:rsidRPr="00BD2CDE">
        <w:rPr>
          <w:sz w:val="24"/>
          <w:szCs w:val="24"/>
        </w:rPr>
        <w:t>be loaded with the Energy Info</w:t>
      </w:r>
      <w:r w:rsidR="00BD611F">
        <w:rPr>
          <w:sz w:val="24"/>
          <w:szCs w:val="24"/>
        </w:rPr>
        <w:t>rmation</w:t>
      </w:r>
      <w:r w:rsidRPr="00BD2CDE">
        <w:rPr>
          <w:sz w:val="24"/>
          <w:szCs w:val="24"/>
        </w:rPr>
        <w:t xml:space="preserve"> Admin</w:t>
      </w:r>
      <w:r w:rsidR="00BD611F">
        <w:rPr>
          <w:sz w:val="24"/>
          <w:szCs w:val="24"/>
        </w:rPr>
        <w:t>istration’s (EIA)</w:t>
      </w:r>
      <w:r w:rsidRPr="00BD2CDE">
        <w:rPr>
          <w:sz w:val="24"/>
          <w:szCs w:val="24"/>
        </w:rPr>
        <w:t xml:space="preserve"> </w:t>
      </w:r>
      <w:r w:rsidR="00BD611F">
        <w:rPr>
          <w:sz w:val="24"/>
          <w:szCs w:val="24"/>
        </w:rPr>
        <w:t xml:space="preserve">2015 </w:t>
      </w:r>
      <w:r w:rsidRPr="00BD2CDE">
        <w:rPr>
          <w:sz w:val="24"/>
          <w:szCs w:val="24"/>
        </w:rPr>
        <w:t xml:space="preserve">Annual Energy Outlook </w:t>
      </w:r>
      <w:r w:rsidR="00BD611F">
        <w:rPr>
          <w:sz w:val="24"/>
          <w:szCs w:val="24"/>
        </w:rPr>
        <w:t xml:space="preserve">(AEO) </w:t>
      </w:r>
      <w:r w:rsidR="00AD27F5">
        <w:rPr>
          <w:sz w:val="24"/>
          <w:szCs w:val="24"/>
        </w:rPr>
        <w:t xml:space="preserve">Pacific region </w:t>
      </w:r>
      <w:r w:rsidRPr="00BD2CDE">
        <w:rPr>
          <w:sz w:val="24"/>
          <w:szCs w:val="24"/>
        </w:rPr>
        <w:t xml:space="preserve">reference case, </w:t>
      </w:r>
      <w:r w:rsidR="00652316">
        <w:rPr>
          <w:sz w:val="24"/>
          <w:szCs w:val="24"/>
        </w:rPr>
        <w:t>and the AEO high price energy case, and AEO</w:t>
      </w:r>
      <w:r w:rsidRPr="00BD2CDE">
        <w:rPr>
          <w:sz w:val="24"/>
          <w:szCs w:val="24"/>
        </w:rPr>
        <w:t xml:space="preserve"> low price energy case</w:t>
      </w:r>
      <w:r w:rsidR="00652316">
        <w:rPr>
          <w:sz w:val="24"/>
          <w:szCs w:val="24"/>
        </w:rPr>
        <w:t xml:space="preserve"> as alternatives</w:t>
      </w:r>
      <w:r w:rsidRPr="00BD2CDE">
        <w:rPr>
          <w:sz w:val="24"/>
          <w:szCs w:val="24"/>
        </w:rPr>
        <w:t>.</w:t>
      </w:r>
      <w:r w:rsidR="004351D7">
        <w:rPr>
          <w:sz w:val="24"/>
          <w:szCs w:val="24"/>
        </w:rPr>
        <w:t xml:space="preserve"> The user may choose to substitute one of the other </w:t>
      </w:r>
      <w:r w:rsidR="00BD611F">
        <w:rPr>
          <w:sz w:val="24"/>
          <w:szCs w:val="24"/>
        </w:rPr>
        <w:t xml:space="preserve">2015 AEO </w:t>
      </w:r>
      <w:r w:rsidR="00652316">
        <w:rPr>
          <w:sz w:val="24"/>
          <w:szCs w:val="24"/>
        </w:rPr>
        <w:t>forecast cases</w:t>
      </w:r>
      <w:r w:rsidR="00BD611F">
        <w:rPr>
          <w:sz w:val="24"/>
          <w:szCs w:val="24"/>
        </w:rPr>
        <w:t xml:space="preserve"> using the separate spreadsheet “CTAM 2015 </w:t>
      </w:r>
      <w:r w:rsidR="00AD2748">
        <w:rPr>
          <w:sz w:val="24"/>
          <w:szCs w:val="24"/>
        </w:rPr>
        <w:t>WA</w:t>
      </w:r>
      <w:r w:rsidR="00BD611F">
        <w:rPr>
          <w:sz w:val="24"/>
          <w:szCs w:val="24"/>
        </w:rPr>
        <w:t xml:space="preserve"> Energy Forecast”, which is described on </w:t>
      </w:r>
      <w:r w:rsidR="00733891">
        <w:rPr>
          <w:sz w:val="24"/>
          <w:szCs w:val="24"/>
        </w:rPr>
        <w:t>page 8</w:t>
      </w:r>
      <w:r w:rsidR="00BD611F" w:rsidRPr="00F44AEA">
        <w:rPr>
          <w:sz w:val="24"/>
          <w:szCs w:val="24"/>
        </w:rPr>
        <w:t>.</w:t>
      </w:r>
    </w:p>
    <w:p w:rsidR="00A23DB7" w:rsidRPr="00BD2CDE" w:rsidRDefault="00AD27F5" w:rsidP="00181A84">
      <w:pPr>
        <w:ind w:left="720"/>
        <w:rPr>
          <w:sz w:val="24"/>
          <w:szCs w:val="24"/>
        </w:rPr>
      </w:pPr>
      <w:r>
        <w:rPr>
          <w:sz w:val="24"/>
          <w:szCs w:val="24"/>
        </w:rPr>
        <w:t>Users may choose</w:t>
      </w:r>
      <w:r w:rsidR="00A23DB7" w:rsidRPr="00BD2CDE">
        <w:rPr>
          <w:sz w:val="24"/>
          <w:szCs w:val="24"/>
        </w:rPr>
        <w:t xml:space="preserve"> to include</w:t>
      </w:r>
      <w:r>
        <w:rPr>
          <w:sz w:val="24"/>
          <w:szCs w:val="24"/>
        </w:rPr>
        <w:t xml:space="preserve"> or exclude</w:t>
      </w:r>
      <w:r w:rsidR="00A23DB7" w:rsidRPr="00BD2CDE">
        <w:rPr>
          <w:sz w:val="24"/>
          <w:szCs w:val="24"/>
        </w:rPr>
        <w:t xml:space="preserve"> industrial process </w:t>
      </w:r>
      <w:r w:rsidRPr="00BD2CDE">
        <w:rPr>
          <w:sz w:val="24"/>
          <w:szCs w:val="24"/>
        </w:rPr>
        <w:t xml:space="preserve">emissions (non-energy </w:t>
      </w:r>
      <w:r>
        <w:rPr>
          <w:sz w:val="24"/>
          <w:szCs w:val="24"/>
        </w:rPr>
        <w:t xml:space="preserve">GHG </w:t>
      </w:r>
      <w:r w:rsidR="00652316">
        <w:rPr>
          <w:sz w:val="24"/>
          <w:szCs w:val="24"/>
        </w:rPr>
        <w:t>emissions) in the tax program</w:t>
      </w:r>
      <w:r w:rsidR="00A23DB7" w:rsidRPr="00BD2CDE">
        <w:rPr>
          <w:sz w:val="24"/>
          <w:szCs w:val="24"/>
        </w:rPr>
        <w:t>.</w:t>
      </w:r>
      <w:r>
        <w:rPr>
          <w:sz w:val="24"/>
          <w:szCs w:val="24"/>
        </w:rPr>
        <w:t xml:space="preserve"> </w:t>
      </w:r>
    </w:p>
    <w:p w:rsidR="00C217F4" w:rsidRPr="004351D7" w:rsidRDefault="00A23DB7" w:rsidP="00181A84">
      <w:pPr>
        <w:ind w:left="720"/>
        <w:rPr>
          <w:sz w:val="24"/>
          <w:szCs w:val="24"/>
        </w:rPr>
      </w:pPr>
      <w:r w:rsidRPr="00BD2CDE">
        <w:rPr>
          <w:sz w:val="24"/>
          <w:szCs w:val="24"/>
        </w:rPr>
        <w:t>Users may also</w:t>
      </w:r>
      <w:r w:rsidR="00AD27F5">
        <w:rPr>
          <w:sz w:val="24"/>
          <w:szCs w:val="24"/>
        </w:rPr>
        <w:t xml:space="preserve"> choose whether to exempt jet fuel, marine fuel or “transition coal” from the carbon tax</w:t>
      </w:r>
      <w:r w:rsidRPr="00BD2CDE">
        <w:rPr>
          <w:sz w:val="24"/>
          <w:szCs w:val="24"/>
        </w:rPr>
        <w:t>.</w:t>
      </w:r>
      <w:r w:rsidR="00AD27F5">
        <w:rPr>
          <w:sz w:val="24"/>
          <w:szCs w:val="24"/>
        </w:rPr>
        <w:t xml:space="preserve"> Jet and marine </w:t>
      </w:r>
      <w:r w:rsidR="004351D7">
        <w:rPr>
          <w:sz w:val="24"/>
          <w:szCs w:val="24"/>
        </w:rPr>
        <w:t>fuels are</w:t>
      </w:r>
      <w:r w:rsidR="00AD27F5">
        <w:rPr>
          <w:sz w:val="24"/>
          <w:szCs w:val="24"/>
        </w:rPr>
        <w:t xml:space="preserve"> primarily combusted outside of state </w:t>
      </w:r>
      <w:r w:rsidR="004351D7">
        <w:rPr>
          <w:sz w:val="24"/>
          <w:szCs w:val="24"/>
        </w:rPr>
        <w:t>boundaries by</w:t>
      </w:r>
      <w:r w:rsidR="00AD27F5">
        <w:rPr>
          <w:sz w:val="24"/>
          <w:szCs w:val="24"/>
        </w:rPr>
        <w:t xml:space="preserve"> out-of-state entities and are frequently exempted from carbon taxes. Transition coal refers to GHG emissions from the Trans Alta Centralia power plant which because of an earlier agreement with the state of Washington could be shielded from a carbon tax.</w:t>
      </w:r>
      <w:r w:rsidR="007731F8">
        <w:rPr>
          <w:sz w:val="24"/>
          <w:szCs w:val="24"/>
        </w:rPr>
        <w:t xml:space="preserve"> Default settings</w:t>
      </w:r>
      <w:r w:rsidRPr="00BD2CDE">
        <w:rPr>
          <w:sz w:val="24"/>
          <w:szCs w:val="24"/>
        </w:rPr>
        <w:t xml:space="preserve"> </w:t>
      </w:r>
      <w:r w:rsidR="00AD27F5">
        <w:rPr>
          <w:sz w:val="24"/>
          <w:szCs w:val="24"/>
        </w:rPr>
        <w:t xml:space="preserve">for all model behavior inputs </w:t>
      </w:r>
      <w:r w:rsidRPr="00BD2CDE">
        <w:rPr>
          <w:sz w:val="24"/>
          <w:szCs w:val="24"/>
        </w:rPr>
        <w:t>are</w:t>
      </w:r>
      <w:r w:rsidR="007731F8">
        <w:rPr>
          <w:sz w:val="24"/>
          <w:szCs w:val="24"/>
        </w:rPr>
        <w:t xml:space="preserve"> denoted</w:t>
      </w:r>
      <w:r w:rsidRPr="00BD2CDE">
        <w:rPr>
          <w:sz w:val="24"/>
          <w:szCs w:val="24"/>
        </w:rPr>
        <w:t xml:space="preserve"> in column C.</w:t>
      </w:r>
    </w:p>
    <w:p w:rsidR="00A23DB7" w:rsidRPr="00BD2CDE" w:rsidRDefault="00270E10" w:rsidP="00181A84">
      <w:pPr>
        <w:pStyle w:val="Heading3"/>
      </w:pPr>
      <w:bookmarkStart w:id="8" w:name="_Toc414355324"/>
      <w:r w:rsidRPr="00BD2CDE">
        <w:t xml:space="preserve">Subsection 4: Optional </w:t>
      </w:r>
      <w:r w:rsidR="006A03F8" w:rsidRPr="00BD2CDE">
        <w:t xml:space="preserve">- </w:t>
      </w:r>
      <w:r w:rsidRPr="00BD2CDE">
        <w:t>exogenous reductions to specific energy sectors</w:t>
      </w:r>
      <w:bookmarkEnd w:id="8"/>
    </w:p>
    <w:p w:rsidR="00270E10" w:rsidRPr="00BD2CDE" w:rsidRDefault="008B51F1" w:rsidP="00181A84">
      <w:pPr>
        <w:ind w:left="720"/>
        <w:rPr>
          <w:sz w:val="24"/>
          <w:szCs w:val="24"/>
        </w:rPr>
      </w:pPr>
      <w:r w:rsidRPr="00BD2CDE">
        <w:rPr>
          <w:sz w:val="24"/>
          <w:szCs w:val="24"/>
        </w:rPr>
        <w:t xml:space="preserve">The user may specify </w:t>
      </w:r>
      <w:r w:rsidR="007731F8">
        <w:rPr>
          <w:sz w:val="24"/>
          <w:szCs w:val="24"/>
        </w:rPr>
        <w:t xml:space="preserve">exogenous (outside the carbon tax program) </w:t>
      </w:r>
      <w:r w:rsidRPr="00BD2CDE">
        <w:rPr>
          <w:sz w:val="24"/>
          <w:szCs w:val="24"/>
        </w:rPr>
        <w:t>reductions to these sectors: residential, commercial, industrial, and transportation. Reductions in fuel consump</w:t>
      </w:r>
      <w:r w:rsidR="007731F8">
        <w:rPr>
          <w:sz w:val="24"/>
          <w:szCs w:val="24"/>
        </w:rPr>
        <w:t xml:space="preserve">tion outside of </w:t>
      </w:r>
      <w:r w:rsidR="007731F8">
        <w:rPr>
          <w:sz w:val="24"/>
          <w:szCs w:val="24"/>
        </w:rPr>
        <w:lastRenderedPageBreak/>
        <w:t>the carbon tax are often referred to</w:t>
      </w:r>
      <w:r w:rsidRPr="00BD2CDE">
        <w:rPr>
          <w:sz w:val="24"/>
          <w:szCs w:val="24"/>
        </w:rPr>
        <w:t xml:space="preserve"> </w:t>
      </w:r>
      <w:r w:rsidR="00F14C5C">
        <w:rPr>
          <w:sz w:val="24"/>
          <w:szCs w:val="24"/>
        </w:rPr>
        <w:t>complementary</w:t>
      </w:r>
      <w:r w:rsidR="007731F8">
        <w:rPr>
          <w:sz w:val="24"/>
          <w:szCs w:val="24"/>
        </w:rPr>
        <w:t xml:space="preserve"> policies</w:t>
      </w:r>
      <w:r w:rsidRPr="00BD2CDE">
        <w:rPr>
          <w:sz w:val="24"/>
          <w:szCs w:val="24"/>
        </w:rPr>
        <w:t>. Only the largest two or three fuel categories within each section can be addressed in this section.</w:t>
      </w:r>
    </w:p>
    <w:p w:rsidR="00F14C5C" w:rsidRDefault="00F14C5C" w:rsidP="00181A84">
      <w:pPr>
        <w:ind w:left="720"/>
        <w:rPr>
          <w:sz w:val="24"/>
          <w:szCs w:val="24"/>
        </w:rPr>
      </w:pPr>
      <w:r>
        <w:rPr>
          <w:sz w:val="24"/>
          <w:szCs w:val="24"/>
        </w:rPr>
        <w:t xml:space="preserve">For this and subsequent complementary policies described below, the user must specify three parameters. </w:t>
      </w:r>
    </w:p>
    <w:p w:rsidR="00F14C5C" w:rsidRDefault="008B51F1" w:rsidP="00181A84">
      <w:pPr>
        <w:pStyle w:val="ListParagraph"/>
        <w:numPr>
          <w:ilvl w:val="0"/>
          <w:numId w:val="5"/>
        </w:numPr>
        <w:rPr>
          <w:sz w:val="24"/>
          <w:szCs w:val="24"/>
        </w:rPr>
      </w:pPr>
      <w:r w:rsidRPr="00F14C5C">
        <w:rPr>
          <w:sz w:val="24"/>
          <w:szCs w:val="24"/>
        </w:rPr>
        <w:t xml:space="preserve">The user must first determine </w:t>
      </w:r>
      <w:r w:rsidR="00F14C5C">
        <w:rPr>
          <w:sz w:val="24"/>
          <w:szCs w:val="24"/>
        </w:rPr>
        <w:t xml:space="preserve">the </w:t>
      </w:r>
      <w:r w:rsidRPr="00F14C5C">
        <w:rPr>
          <w:sz w:val="24"/>
          <w:szCs w:val="24"/>
        </w:rPr>
        <w:t>percent reduc</w:t>
      </w:r>
      <w:r w:rsidR="00F14C5C">
        <w:rPr>
          <w:sz w:val="24"/>
          <w:szCs w:val="24"/>
        </w:rPr>
        <w:t>tion in a specific fuel use that is to be expected from the complementary policy. For</w:t>
      </w:r>
      <w:r w:rsidRPr="00F14C5C">
        <w:rPr>
          <w:sz w:val="24"/>
          <w:szCs w:val="24"/>
        </w:rPr>
        <w:t xml:space="preserve"> example a reduction of 10% of natural gas consumption in the residential sector. </w:t>
      </w:r>
    </w:p>
    <w:p w:rsidR="00F14C5C" w:rsidRDefault="008B51F1" w:rsidP="00181A84">
      <w:pPr>
        <w:pStyle w:val="ListParagraph"/>
        <w:numPr>
          <w:ilvl w:val="0"/>
          <w:numId w:val="5"/>
        </w:numPr>
        <w:rPr>
          <w:sz w:val="24"/>
          <w:szCs w:val="24"/>
        </w:rPr>
      </w:pPr>
      <w:r w:rsidRPr="00F14C5C">
        <w:rPr>
          <w:sz w:val="24"/>
          <w:szCs w:val="24"/>
        </w:rPr>
        <w:t xml:space="preserve">Next, </w:t>
      </w:r>
      <w:r w:rsidR="00F14C5C">
        <w:rPr>
          <w:sz w:val="24"/>
          <w:szCs w:val="24"/>
        </w:rPr>
        <w:t xml:space="preserve">the sure selects </w:t>
      </w:r>
      <w:r w:rsidRPr="00F14C5C">
        <w:rPr>
          <w:sz w:val="24"/>
          <w:szCs w:val="24"/>
        </w:rPr>
        <w:t>a target year</w:t>
      </w:r>
      <w:r w:rsidR="00F14C5C">
        <w:rPr>
          <w:sz w:val="24"/>
          <w:szCs w:val="24"/>
        </w:rPr>
        <w:t xml:space="preserve"> for achieving the percent reduction.</w:t>
      </w:r>
    </w:p>
    <w:p w:rsidR="008B51F1" w:rsidRPr="00F14C5C" w:rsidRDefault="00F14C5C" w:rsidP="00181A84">
      <w:pPr>
        <w:pStyle w:val="ListParagraph"/>
        <w:numPr>
          <w:ilvl w:val="0"/>
          <w:numId w:val="5"/>
        </w:numPr>
        <w:rPr>
          <w:sz w:val="24"/>
          <w:szCs w:val="24"/>
        </w:rPr>
      </w:pPr>
      <w:r>
        <w:rPr>
          <w:sz w:val="24"/>
          <w:szCs w:val="24"/>
        </w:rPr>
        <w:t xml:space="preserve"> Finally the user specifies the r</w:t>
      </w:r>
      <w:r w:rsidR="008B51F1" w:rsidRPr="00F14C5C">
        <w:rPr>
          <w:sz w:val="24"/>
          <w:szCs w:val="24"/>
        </w:rPr>
        <w:t xml:space="preserve">amp period </w:t>
      </w:r>
      <w:r>
        <w:rPr>
          <w:sz w:val="24"/>
          <w:szCs w:val="24"/>
        </w:rPr>
        <w:t>which is the number of years from initiation of the complementary policy to full effectiveness.</w:t>
      </w:r>
    </w:p>
    <w:p w:rsidR="008B51F1" w:rsidRPr="00BD2CDE" w:rsidRDefault="008B51F1" w:rsidP="00181A84">
      <w:pPr>
        <w:pStyle w:val="Heading3"/>
      </w:pPr>
      <w:bookmarkStart w:id="9" w:name="_Toc414355325"/>
      <w:r w:rsidRPr="00BD2CDE">
        <w:t xml:space="preserve">Subsection 5: Optional </w:t>
      </w:r>
      <w:r w:rsidR="006A03F8" w:rsidRPr="00BD2CDE">
        <w:t>- exogenous r</w:t>
      </w:r>
      <w:r w:rsidRPr="00BD2CDE">
        <w:t>eductions to industrial process emissions</w:t>
      </w:r>
      <w:bookmarkEnd w:id="9"/>
    </w:p>
    <w:p w:rsidR="008B51F1" w:rsidRPr="00BD2CDE" w:rsidRDefault="008B51F1" w:rsidP="00181A84">
      <w:pPr>
        <w:ind w:left="720"/>
        <w:rPr>
          <w:sz w:val="24"/>
          <w:szCs w:val="24"/>
        </w:rPr>
      </w:pPr>
      <w:r w:rsidRPr="00BD2CDE">
        <w:rPr>
          <w:sz w:val="24"/>
          <w:szCs w:val="24"/>
        </w:rPr>
        <w:t>Similar to subsection 4, the user can specify emission reductions to industrial process emissions, outside the carbon tax system.</w:t>
      </w:r>
    </w:p>
    <w:p w:rsidR="008B51F1" w:rsidRPr="00BD2CDE" w:rsidRDefault="008B51F1" w:rsidP="00181A84">
      <w:pPr>
        <w:ind w:left="720"/>
        <w:rPr>
          <w:sz w:val="24"/>
          <w:szCs w:val="24"/>
        </w:rPr>
      </w:pPr>
      <w:r w:rsidRPr="00BD2CDE">
        <w:rPr>
          <w:sz w:val="24"/>
          <w:szCs w:val="24"/>
        </w:rPr>
        <w:t>The structure of this optional section is the same as the previous section. The user must specify a percentage reduction in emissions, target year, and ramp length.</w:t>
      </w:r>
    </w:p>
    <w:p w:rsidR="008B51F1" w:rsidRPr="00BD2CDE" w:rsidRDefault="008B51F1" w:rsidP="00181A84">
      <w:pPr>
        <w:pStyle w:val="Heading3"/>
      </w:pPr>
      <w:bookmarkStart w:id="10" w:name="_Toc414355326"/>
      <w:r w:rsidRPr="00BD2CDE">
        <w:t>Subsection 6:</w:t>
      </w:r>
      <w:r w:rsidR="006A03F8" w:rsidRPr="00BD2CDE">
        <w:t xml:space="preserve"> Optional - supplemental fuel tax</w:t>
      </w:r>
      <w:bookmarkEnd w:id="10"/>
    </w:p>
    <w:p w:rsidR="006A03F8" w:rsidRPr="00BD2CDE" w:rsidRDefault="006A03F8" w:rsidP="00181A84">
      <w:pPr>
        <w:ind w:left="720"/>
        <w:rPr>
          <w:sz w:val="24"/>
          <w:szCs w:val="24"/>
        </w:rPr>
      </w:pPr>
      <w:r w:rsidRPr="00BD2CDE">
        <w:rPr>
          <w:sz w:val="24"/>
          <w:szCs w:val="24"/>
        </w:rPr>
        <w:t>A supplemental fuel tax may be added to the model. This represents a possible increase in federal or st</w:t>
      </w:r>
      <w:r w:rsidR="00F14C5C">
        <w:rPr>
          <w:sz w:val="24"/>
          <w:szCs w:val="24"/>
        </w:rPr>
        <w:t>ate (road) fuel taxes</w:t>
      </w:r>
      <w:r w:rsidR="00F37810">
        <w:rPr>
          <w:sz w:val="24"/>
          <w:szCs w:val="24"/>
        </w:rPr>
        <w:t xml:space="preserve"> for gasoline and/or diesel</w:t>
      </w:r>
      <w:r w:rsidR="00F14C5C">
        <w:rPr>
          <w:sz w:val="24"/>
          <w:szCs w:val="24"/>
        </w:rPr>
        <w:t>. These taxes</w:t>
      </w:r>
      <w:r w:rsidRPr="00BD2CDE">
        <w:rPr>
          <w:sz w:val="24"/>
          <w:szCs w:val="24"/>
        </w:rPr>
        <w:t xml:space="preserve"> </w:t>
      </w:r>
      <w:r w:rsidR="00F37810">
        <w:rPr>
          <w:sz w:val="24"/>
          <w:szCs w:val="24"/>
        </w:rPr>
        <w:t xml:space="preserve">are </w:t>
      </w:r>
      <w:r w:rsidRPr="00BD2CDE">
        <w:rPr>
          <w:sz w:val="24"/>
          <w:szCs w:val="24"/>
        </w:rPr>
        <w:t xml:space="preserve">generally not </w:t>
      </w:r>
      <w:r w:rsidR="00297B17" w:rsidRPr="00BD2CDE">
        <w:rPr>
          <w:sz w:val="24"/>
          <w:szCs w:val="24"/>
        </w:rPr>
        <w:t xml:space="preserve">considered a </w:t>
      </w:r>
      <w:r w:rsidR="00F14C5C">
        <w:rPr>
          <w:sz w:val="24"/>
          <w:szCs w:val="24"/>
        </w:rPr>
        <w:t xml:space="preserve">complementary policy, but will influence the price of gasoline and diesel and therefore the consumption of these </w:t>
      </w:r>
      <w:r w:rsidR="00F37810">
        <w:rPr>
          <w:sz w:val="24"/>
          <w:szCs w:val="24"/>
        </w:rPr>
        <w:t>fuels</w:t>
      </w:r>
      <w:r w:rsidR="00297B17" w:rsidRPr="00BD2CDE">
        <w:rPr>
          <w:sz w:val="24"/>
          <w:szCs w:val="24"/>
        </w:rPr>
        <w:t>.</w:t>
      </w:r>
    </w:p>
    <w:p w:rsidR="008B51F1" w:rsidRPr="00BD2CDE" w:rsidRDefault="008B51F1" w:rsidP="00181A84">
      <w:pPr>
        <w:pStyle w:val="Heading3"/>
      </w:pPr>
      <w:bookmarkStart w:id="11" w:name="_Toc414355327"/>
      <w:r w:rsidRPr="00BD2CDE">
        <w:t>Subsection 7:</w:t>
      </w:r>
      <w:r w:rsidR="006A03F8" w:rsidRPr="00BD2CDE">
        <w:t xml:space="preserve"> Optional - invoke a low carbon fuel standard</w:t>
      </w:r>
      <w:bookmarkEnd w:id="11"/>
    </w:p>
    <w:p w:rsidR="00297B17" w:rsidRPr="00BD2CDE" w:rsidRDefault="00297B17" w:rsidP="00181A84">
      <w:pPr>
        <w:ind w:left="720"/>
        <w:rPr>
          <w:sz w:val="24"/>
          <w:szCs w:val="24"/>
        </w:rPr>
      </w:pPr>
      <w:r w:rsidRPr="00BD2CDE">
        <w:rPr>
          <w:sz w:val="24"/>
          <w:szCs w:val="24"/>
        </w:rPr>
        <w:t xml:space="preserve">An optional low carbon fuel standard </w:t>
      </w:r>
      <w:r w:rsidR="00F37810">
        <w:rPr>
          <w:sz w:val="24"/>
          <w:szCs w:val="24"/>
        </w:rPr>
        <w:t xml:space="preserve">program </w:t>
      </w:r>
      <w:r w:rsidRPr="00BD2CDE">
        <w:rPr>
          <w:sz w:val="24"/>
          <w:szCs w:val="24"/>
        </w:rPr>
        <w:t xml:space="preserve">can be added to the model. This is another type of </w:t>
      </w:r>
      <w:r w:rsidR="00BE5925">
        <w:rPr>
          <w:sz w:val="24"/>
          <w:szCs w:val="24"/>
        </w:rPr>
        <w:t>complementary</w:t>
      </w:r>
      <w:r w:rsidRPr="00BD2CDE">
        <w:rPr>
          <w:sz w:val="24"/>
          <w:szCs w:val="24"/>
        </w:rPr>
        <w:t xml:space="preserve"> greenhouse gas reduction strategy</w:t>
      </w:r>
      <w:r w:rsidR="00F37810">
        <w:rPr>
          <w:sz w:val="24"/>
          <w:szCs w:val="24"/>
        </w:rPr>
        <w:t xml:space="preserve"> often considered by states</w:t>
      </w:r>
      <w:r w:rsidRPr="00BD2CDE">
        <w:rPr>
          <w:sz w:val="24"/>
          <w:szCs w:val="24"/>
        </w:rPr>
        <w:t xml:space="preserve">. The user must specify the </w:t>
      </w:r>
      <w:r w:rsidR="007731F8">
        <w:rPr>
          <w:sz w:val="24"/>
          <w:szCs w:val="24"/>
        </w:rPr>
        <w:t xml:space="preserve">LCFFS </w:t>
      </w:r>
      <w:r w:rsidRPr="00BD2CDE">
        <w:rPr>
          <w:sz w:val="24"/>
          <w:szCs w:val="24"/>
        </w:rPr>
        <w:t>reduction in average fuel carbon intensi</w:t>
      </w:r>
      <w:r w:rsidR="007731F8">
        <w:rPr>
          <w:sz w:val="24"/>
          <w:szCs w:val="24"/>
        </w:rPr>
        <w:t>ty (AFCI) as well as a</w:t>
      </w:r>
      <w:r w:rsidRPr="00BD2CDE">
        <w:rPr>
          <w:sz w:val="24"/>
          <w:szCs w:val="24"/>
        </w:rPr>
        <w:t xml:space="preserve"> target year for full imple</w:t>
      </w:r>
      <w:r w:rsidR="007731F8">
        <w:rPr>
          <w:sz w:val="24"/>
          <w:szCs w:val="24"/>
        </w:rPr>
        <w:t>mentation and a</w:t>
      </w:r>
      <w:r w:rsidRPr="00BD2CDE">
        <w:rPr>
          <w:sz w:val="24"/>
          <w:szCs w:val="24"/>
        </w:rPr>
        <w:t xml:space="preserve"> ramping period.</w:t>
      </w:r>
    </w:p>
    <w:p w:rsidR="008B51F1" w:rsidRPr="00BD2CDE" w:rsidRDefault="008B51F1" w:rsidP="00181A84">
      <w:pPr>
        <w:pStyle w:val="Heading3"/>
      </w:pPr>
      <w:bookmarkStart w:id="12" w:name="_Toc414355328"/>
      <w:r w:rsidRPr="00BD2CDE">
        <w:t>Subsection 8:</w:t>
      </w:r>
      <w:r w:rsidR="006A03F8" w:rsidRPr="00BD2CDE">
        <w:t xml:space="preserve"> Optional – shut down Colstrip</w:t>
      </w:r>
      <w:r w:rsidR="00F37810">
        <w:t xml:space="preserve"> power plant</w:t>
      </w:r>
      <w:bookmarkEnd w:id="12"/>
    </w:p>
    <w:p w:rsidR="00297B17" w:rsidRPr="00BD2CDE" w:rsidRDefault="00297B17" w:rsidP="00181A84">
      <w:pPr>
        <w:ind w:left="720"/>
        <w:rPr>
          <w:sz w:val="24"/>
          <w:szCs w:val="24"/>
        </w:rPr>
      </w:pPr>
      <w:r w:rsidRPr="00BD2CDE">
        <w:rPr>
          <w:sz w:val="24"/>
          <w:szCs w:val="24"/>
        </w:rPr>
        <w:t xml:space="preserve">The coal-fired Colstrip power plant in Montana supplies a significant amount of Washington states imported electricity. This policy allows the users to specify a phase-out of electric power production at the Colstrip facility. </w:t>
      </w:r>
      <w:r w:rsidR="00F37810">
        <w:rPr>
          <w:sz w:val="24"/>
          <w:szCs w:val="24"/>
        </w:rPr>
        <w:t>A portion or the entire output of Colstrip may be specified. Variables in this subsection i</w:t>
      </w:r>
      <w:r w:rsidRPr="00BD2CDE">
        <w:rPr>
          <w:sz w:val="24"/>
          <w:szCs w:val="24"/>
        </w:rPr>
        <w:t xml:space="preserve">nclude shutdown date and percent replacement by natural gas </w:t>
      </w:r>
      <w:r w:rsidR="00F37810">
        <w:rPr>
          <w:sz w:val="24"/>
          <w:szCs w:val="24"/>
        </w:rPr>
        <w:t xml:space="preserve">fired </w:t>
      </w:r>
      <w:r w:rsidRPr="00BD2CDE">
        <w:rPr>
          <w:sz w:val="24"/>
          <w:szCs w:val="24"/>
        </w:rPr>
        <w:t>electric power generation.</w:t>
      </w:r>
    </w:p>
    <w:p w:rsidR="006A03F8" w:rsidRPr="00BD2CDE" w:rsidRDefault="006A03F8" w:rsidP="00181A84">
      <w:pPr>
        <w:pStyle w:val="Heading3"/>
      </w:pPr>
      <w:bookmarkStart w:id="13" w:name="_Toc414355329"/>
      <w:r w:rsidRPr="00BD2CDE">
        <w:t xml:space="preserve">Subsection 9: Optional – increase penetration </w:t>
      </w:r>
      <w:r w:rsidR="00BB50A9">
        <w:t xml:space="preserve">rate </w:t>
      </w:r>
      <w:r w:rsidRPr="00BD2CDE">
        <w:t>of EVs</w:t>
      </w:r>
      <w:bookmarkEnd w:id="13"/>
    </w:p>
    <w:p w:rsidR="008B51F1" w:rsidRPr="00BD2CDE" w:rsidRDefault="00297B17" w:rsidP="00181A84">
      <w:pPr>
        <w:ind w:left="720"/>
        <w:rPr>
          <w:sz w:val="24"/>
          <w:szCs w:val="24"/>
        </w:rPr>
      </w:pPr>
      <w:r w:rsidRPr="00BD2CDE">
        <w:rPr>
          <w:sz w:val="24"/>
          <w:szCs w:val="24"/>
        </w:rPr>
        <w:t>Measures to increase the rate of electric vehicle</w:t>
      </w:r>
      <w:r w:rsidR="00F37810">
        <w:rPr>
          <w:sz w:val="24"/>
          <w:szCs w:val="24"/>
        </w:rPr>
        <w:t xml:space="preserve"> (EV)</w:t>
      </w:r>
      <w:r w:rsidRPr="00BD2CDE">
        <w:rPr>
          <w:sz w:val="24"/>
          <w:szCs w:val="24"/>
        </w:rPr>
        <w:t xml:space="preserve"> penetration represent another </w:t>
      </w:r>
      <w:r w:rsidR="00BE5925">
        <w:rPr>
          <w:sz w:val="24"/>
          <w:szCs w:val="24"/>
        </w:rPr>
        <w:t>complementary</w:t>
      </w:r>
      <w:r w:rsidRPr="00BD2CDE">
        <w:rPr>
          <w:sz w:val="24"/>
          <w:szCs w:val="24"/>
        </w:rPr>
        <w:t xml:space="preserve"> policy. For this measure the key variable is the percent of gasoline displaced by increased market penetration of EVs. Variables establishing the target year and ramp period must be provided.</w:t>
      </w:r>
      <w:r w:rsidR="00F37810">
        <w:rPr>
          <w:sz w:val="24"/>
          <w:szCs w:val="24"/>
        </w:rPr>
        <w:t xml:space="preserve"> The user should exercise caution using this option since EV</w:t>
      </w:r>
      <w:r w:rsidR="00DC6A02">
        <w:rPr>
          <w:sz w:val="24"/>
          <w:szCs w:val="24"/>
        </w:rPr>
        <w:t>s are also typically part of</w:t>
      </w:r>
      <w:r w:rsidR="00F37810">
        <w:rPr>
          <w:sz w:val="24"/>
          <w:szCs w:val="24"/>
        </w:rPr>
        <w:t xml:space="preserve"> LCFS program</w:t>
      </w:r>
      <w:r w:rsidR="00DC6A02">
        <w:rPr>
          <w:sz w:val="24"/>
          <w:szCs w:val="24"/>
        </w:rPr>
        <w:t>s</w:t>
      </w:r>
      <w:r w:rsidR="00F37810">
        <w:rPr>
          <w:sz w:val="24"/>
          <w:szCs w:val="24"/>
        </w:rPr>
        <w:t xml:space="preserve"> thus creating the potential to double count this policy option. If the LCFS </w:t>
      </w:r>
      <w:r w:rsidR="00F37810">
        <w:rPr>
          <w:sz w:val="24"/>
          <w:szCs w:val="24"/>
        </w:rPr>
        <w:lastRenderedPageBreak/>
        <w:t>option described above is not selected then double counting of GHG emission reductions</w:t>
      </w:r>
      <w:r w:rsidR="00A0779B">
        <w:rPr>
          <w:sz w:val="24"/>
          <w:szCs w:val="24"/>
        </w:rPr>
        <w:t xml:space="preserve"> from a </w:t>
      </w:r>
      <w:r w:rsidR="00BE5925">
        <w:rPr>
          <w:sz w:val="24"/>
          <w:szCs w:val="24"/>
        </w:rPr>
        <w:t>complementary</w:t>
      </w:r>
      <w:r w:rsidR="00F37810">
        <w:rPr>
          <w:sz w:val="24"/>
          <w:szCs w:val="24"/>
        </w:rPr>
        <w:t xml:space="preserve"> policy promoting EVs will not be a problem. </w:t>
      </w:r>
    </w:p>
    <w:p w:rsidR="00297B17" w:rsidRPr="00BD2CDE" w:rsidRDefault="00297B17" w:rsidP="00181A84">
      <w:pPr>
        <w:pStyle w:val="Heading2"/>
      </w:pPr>
      <w:bookmarkStart w:id="14" w:name="_Toc414355330"/>
      <w:r w:rsidRPr="00BD2CDE">
        <w:t>D</w:t>
      </w:r>
      <w:r w:rsidR="001C6F48">
        <w:t>ASHBOARD</w:t>
      </w:r>
      <w:r w:rsidRPr="00BD2CDE">
        <w:t xml:space="preserve"> </w:t>
      </w:r>
      <w:r w:rsidR="007B3510">
        <w:t>M</w:t>
      </w:r>
      <w:r w:rsidR="001C6F48">
        <w:t>ODEL</w:t>
      </w:r>
      <w:r w:rsidR="007B3510">
        <w:t xml:space="preserve"> </w:t>
      </w:r>
      <w:r w:rsidRPr="00BD2CDE">
        <w:t>O</w:t>
      </w:r>
      <w:r w:rsidR="001C6F48">
        <w:t>UTPUT</w:t>
      </w:r>
      <w:bookmarkEnd w:id="14"/>
    </w:p>
    <w:p w:rsidR="00297B17" w:rsidRPr="00BD2CDE" w:rsidRDefault="00297B17" w:rsidP="00181A84">
      <w:pPr>
        <w:rPr>
          <w:sz w:val="24"/>
          <w:szCs w:val="24"/>
        </w:rPr>
      </w:pPr>
      <w:r w:rsidRPr="00BD2CDE">
        <w:rPr>
          <w:sz w:val="24"/>
          <w:szCs w:val="24"/>
        </w:rPr>
        <w:t>After all the i</w:t>
      </w:r>
      <w:r w:rsidR="007B3510">
        <w:rPr>
          <w:sz w:val="24"/>
          <w:szCs w:val="24"/>
        </w:rPr>
        <w:t>nput variables are finalized,</w:t>
      </w:r>
      <w:r w:rsidRPr="00BD2CDE">
        <w:rPr>
          <w:sz w:val="24"/>
          <w:szCs w:val="24"/>
        </w:rPr>
        <w:t xml:space="preserve"> entered in the </w:t>
      </w:r>
      <w:r w:rsidR="007B3510" w:rsidRPr="00BD2CDE">
        <w:rPr>
          <w:sz w:val="24"/>
          <w:szCs w:val="24"/>
        </w:rPr>
        <w:t>dashboar</w:t>
      </w:r>
      <w:r w:rsidR="007B3510">
        <w:rPr>
          <w:sz w:val="24"/>
          <w:szCs w:val="24"/>
        </w:rPr>
        <w:t>d and pass the logic tests in column F, the model run</w:t>
      </w:r>
      <w:r w:rsidR="00F37810">
        <w:rPr>
          <w:sz w:val="24"/>
          <w:szCs w:val="24"/>
        </w:rPr>
        <w:t xml:space="preserve"> is complete</w:t>
      </w:r>
      <w:r w:rsidRPr="00BD2CDE">
        <w:rPr>
          <w:sz w:val="24"/>
          <w:szCs w:val="24"/>
        </w:rPr>
        <w:t xml:space="preserve">. </w:t>
      </w:r>
    </w:p>
    <w:p w:rsidR="00297B17" w:rsidRPr="00BD2CDE" w:rsidRDefault="00297B17" w:rsidP="00181A84">
      <w:pPr>
        <w:rPr>
          <w:sz w:val="24"/>
          <w:szCs w:val="24"/>
        </w:rPr>
      </w:pPr>
      <w:r w:rsidRPr="00BD2CDE">
        <w:rPr>
          <w:sz w:val="24"/>
          <w:szCs w:val="24"/>
        </w:rPr>
        <w:t>Model output includes:</w:t>
      </w:r>
    </w:p>
    <w:p w:rsidR="00EF72F1" w:rsidRPr="00BD2CDE" w:rsidRDefault="00297B17" w:rsidP="00181A84">
      <w:pPr>
        <w:pStyle w:val="ListParagraph"/>
        <w:numPr>
          <w:ilvl w:val="0"/>
          <w:numId w:val="3"/>
        </w:numPr>
        <w:rPr>
          <w:sz w:val="24"/>
          <w:szCs w:val="24"/>
        </w:rPr>
      </w:pPr>
      <w:r w:rsidRPr="00BD2CDE">
        <w:rPr>
          <w:sz w:val="24"/>
          <w:szCs w:val="24"/>
        </w:rPr>
        <w:t>A figure illustrating carbon</w:t>
      </w:r>
      <w:r w:rsidR="00EF72F1" w:rsidRPr="00BD2CDE">
        <w:rPr>
          <w:sz w:val="24"/>
          <w:szCs w:val="24"/>
        </w:rPr>
        <w:t xml:space="preserve"> dioxide equivalent emissions for 2005 through 2040. The light blue line represents the reference case, while the green line represents the emissions for the case with a carbon tax and any optional </w:t>
      </w:r>
      <w:r w:rsidR="00F14C5C">
        <w:rPr>
          <w:sz w:val="24"/>
          <w:szCs w:val="24"/>
        </w:rPr>
        <w:t>complementary</w:t>
      </w:r>
      <w:r w:rsidR="00EF72F1" w:rsidRPr="00BD2CDE">
        <w:rPr>
          <w:sz w:val="24"/>
          <w:szCs w:val="24"/>
        </w:rPr>
        <w:t xml:space="preserve"> or non-carbon tax policies that the user has selected. </w:t>
      </w:r>
      <w:r w:rsidR="007B3510">
        <w:rPr>
          <w:sz w:val="24"/>
          <w:szCs w:val="24"/>
        </w:rPr>
        <w:t xml:space="preserve">The state’s 2020 and 2035 </w:t>
      </w:r>
      <w:r w:rsidR="00A0779B">
        <w:rPr>
          <w:sz w:val="24"/>
          <w:szCs w:val="24"/>
        </w:rPr>
        <w:t xml:space="preserve">GHG </w:t>
      </w:r>
      <w:r w:rsidR="007B3510">
        <w:rPr>
          <w:sz w:val="24"/>
          <w:szCs w:val="24"/>
        </w:rPr>
        <w:t>targets are also displayed in the figure.</w:t>
      </w:r>
    </w:p>
    <w:p w:rsidR="00297B17" w:rsidRPr="00BD2CDE" w:rsidRDefault="00EF72F1" w:rsidP="00181A84">
      <w:pPr>
        <w:pStyle w:val="ListParagraph"/>
        <w:numPr>
          <w:ilvl w:val="0"/>
          <w:numId w:val="3"/>
        </w:numPr>
        <w:rPr>
          <w:sz w:val="24"/>
          <w:szCs w:val="24"/>
        </w:rPr>
      </w:pPr>
      <w:r w:rsidRPr="00BD2CDE">
        <w:rPr>
          <w:sz w:val="24"/>
          <w:szCs w:val="24"/>
        </w:rPr>
        <w:t>There are five tables below the emissions figure. The first presents baseline and adjusted emissions</w:t>
      </w:r>
      <w:r w:rsidR="00A0779B">
        <w:rPr>
          <w:sz w:val="24"/>
          <w:szCs w:val="24"/>
        </w:rPr>
        <w:t xml:space="preserve"> (after</w:t>
      </w:r>
      <w:r w:rsidR="00DC6A02">
        <w:rPr>
          <w:sz w:val="24"/>
          <w:szCs w:val="24"/>
        </w:rPr>
        <w:t xml:space="preserve"> carbon tax)</w:t>
      </w:r>
      <w:r w:rsidRPr="00BD2CDE">
        <w:rPr>
          <w:sz w:val="24"/>
          <w:szCs w:val="24"/>
        </w:rPr>
        <w:t xml:space="preserve"> </w:t>
      </w:r>
      <w:r w:rsidR="00A0779B">
        <w:rPr>
          <w:sz w:val="24"/>
          <w:szCs w:val="24"/>
        </w:rPr>
        <w:t xml:space="preserve">for </w:t>
      </w:r>
      <w:r w:rsidRPr="00BD2CDE">
        <w:rPr>
          <w:sz w:val="24"/>
          <w:szCs w:val="24"/>
        </w:rPr>
        <w:t>2020 and 2035 for the residential, commercial, industrial, and transportation sectors.</w:t>
      </w:r>
    </w:p>
    <w:p w:rsidR="00EF72F1" w:rsidRPr="00BD2CDE" w:rsidRDefault="00EF72F1" w:rsidP="00181A84">
      <w:pPr>
        <w:pStyle w:val="ListParagraph"/>
        <w:numPr>
          <w:ilvl w:val="0"/>
          <w:numId w:val="3"/>
        </w:numPr>
        <w:rPr>
          <w:sz w:val="24"/>
          <w:szCs w:val="24"/>
        </w:rPr>
      </w:pPr>
      <w:r w:rsidRPr="00BD2CDE">
        <w:rPr>
          <w:sz w:val="24"/>
          <w:szCs w:val="24"/>
        </w:rPr>
        <w:t>The second and third tables summarize the carbon tax revenue in 2020 and 2035, expressed in 2012 dollars</w:t>
      </w:r>
      <w:r w:rsidR="007B3510">
        <w:rPr>
          <w:sz w:val="24"/>
          <w:szCs w:val="24"/>
        </w:rPr>
        <w:t xml:space="preserve"> and effects of the revenue expressed as percent offsets of existing taxes (</w:t>
      </w:r>
      <w:r w:rsidR="00DC6A02">
        <w:rPr>
          <w:sz w:val="24"/>
          <w:szCs w:val="24"/>
        </w:rPr>
        <w:t xml:space="preserve">recall that </w:t>
      </w:r>
      <w:r w:rsidR="007B3510">
        <w:rPr>
          <w:sz w:val="24"/>
          <w:szCs w:val="24"/>
        </w:rPr>
        <w:t>CTAM assumes revenue neutrality)</w:t>
      </w:r>
      <w:r w:rsidRPr="00BD2CDE">
        <w:rPr>
          <w:sz w:val="24"/>
          <w:szCs w:val="24"/>
        </w:rPr>
        <w:t>.</w:t>
      </w:r>
    </w:p>
    <w:p w:rsidR="00EF72F1" w:rsidRPr="00BD2CDE" w:rsidRDefault="00EF72F1" w:rsidP="00181A84">
      <w:pPr>
        <w:pStyle w:val="ListParagraph"/>
        <w:numPr>
          <w:ilvl w:val="0"/>
          <w:numId w:val="3"/>
        </w:numPr>
        <w:rPr>
          <w:sz w:val="24"/>
          <w:szCs w:val="24"/>
        </w:rPr>
      </w:pPr>
      <w:r w:rsidRPr="00BD2CDE">
        <w:rPr>
          <w:sz w:val="24"/>
          <w:szCs w:val="24"/>
        </w:rPr>
        <w:t>The fourth table presents gross energy expenditures for the baseline and adjusted cases in 2020 and 2035, expressed in constant 2012 dollars.</w:t>
      </w:r>
    </w:p>
    <w:p w:rsidR="00BB50A9" w:rsidRPr="0049056D" w:rsidRDefault="00EF72F1" w:rsidP="00181A84">
      <w:pPr>
        <w:pStyle w:val="ListParagraph"/>
        <w:numPr>
          <w:ilvl w:val="0"/>
          <w:numId w:val="3"/>
        </w:numPr>
        <w:rPr>
          <w:sz w:val="24"/>
          <w:szCs w:val="24"/>
        </w:rPr>
      </w:pPr>
      <w:r w:rsidRPr="00BD2CDE">
        <w:rPr>
          <w:sz w:val="24"/>
          <w:szCs w:val="24"/>
        </w:rPr>
        <w:t>The fifth table summarizes baseline and adjusted scenario unit energy prices for common fuels (gasoline, diesel, natural gas, residual fuel, and electricity)</w:t>
      </w:r>
      <w:r w:rsidR="00C706B8">
        <w:rPr>
          <w:sz w:val="24"/>
          <w:szCs w:val="24"/>
        </w:rPr>
        <w:t xml:space="preserve"> in the years 2020 and 2035</w:t>
      </w:r>
      <w:r w:rsidRPr="00BD2CDE">
        <w:rPr>
          <w:sz w:val="24"/>
          <w:szCs w:val="24"/>
        </w:rPr>
        <w:t>.</w:t>
      </w:r>
    </w:p>
    <w:p w:rsidR="00EF72F1" w:rsidRPr="00BD2CDE" w:rsidRDefault="00EF72F1" w:rsidP="00181A84">
      <w:pPr>
        <w:pStyle w:val="Heading2"/>
      </w:pPr>
      <w:bookmarkStart w:id="15" w:name="_Toc414355331"/>
      <w:r w:rsidRPr="00BD2CDE">
        <w:t>PARAMETERS TAB</w:t>
      </w:r>
      <w:bookmarkEnd w:id="15"/>
    </w:p>
    <w:p w:rsidR="008B51F1" w:rsidRPr="00BD2CDE" w:rsidRDefault="003343DD" w:rsidP="00181A84">
      <w:pPr>
        <w:rPr>
          <w:sz w:val="24"/>
          <w:szCs w:val="24"/>
        </w:rPr>
      </w:pPr>
      <w:r w:rsidRPr="00BD2CDE">
        <w:rPr>
          <w:sz w:val="24"/>
          <w:szCs w:val="24"/>
        </w:rPr>
        <w:t xml:space="preserve">This tab contains fixed parameters used in CTAM. Values in </w:t>
      </w:r>
      <w:r w:rsidR="007B3B03">
        <w:rPr>
          <w:sz w:val="24"/>
          <w:szCs w:val="24"/>
        </w:rPr>
        <w:t>C</w:t>
      </w:r>
      <w:r w:rsidRPr="00BD2CDE">
        <w:rPr>
          <w:sz w:val="24"/>
          <w:szCs w:val="24"/>
        </w:rPr>
        <w:t>21</w:t>
      </w:r>
      <w:r w:rsidR="007B3B03">
        <w:rPr>
          <w:sz w:val="24"/>
          <w:szCs w:val="24"/>
        </w:rPr>
        <w:t>, which controls the share of Centralia generation that is sold to WA utilities,</w:t>
      </w:r>
      <w:r w:rsidRPr="00BD2CDE">
        <w:rPr>
          <w:sz w:val="24"/>
          <w:szCs w:val="24"/>
        </w:rPr>
        <w:t xml:space="preserve"> and </w:t>
      </w:r>
      <w:r w:rsidR="007B3B03">
        <w:rPr>
          <w:sz w:val="24"/>
          <w:szCs w:val="24"/>
        </w:rPr>
        <w:t>C</w:t>
      </w:r>
      <w:r w:rsidRPr="00BD2CDE">
        <w:rPr>
          <w:sz w:val="24"/>
          <w:szCs w:val="24"/>
        </w:rPr>
        <w:t>108-110</w:t>
      </w:r>
      <w:r w:rsidR="007B3B03">
        <w:rPr>
          <w:sz w:val="24"/>
          <w:szCs w:val="24"/>
        </w:rPr>
        <w:t>, which controls the range of allowed start (2016) and stop years (2040),</w:t>
      </w:r>
      <w:r w:rsidRPr="00BD2CDE">
        <w:rPr>
          <w:sz w:val="24"/>
          <w:szCs w:val="24"/>
        </w:rPr>
        <w:t xml:space="preserve"> can be adjusted.</w:t>
      </w:r>
    </w:p>
    <w:p w:rsidR="003343DD" w:rsidRPr="00BD2CDE" w:rsidRDefault="003343DD" w:rsidP="00181A84">
      <w:pPr>
        <w:pStyle w:val="Heading2"/>
      </w:pPr>
      <w:bookmarkStart w:id="16" w:name="_Toc414355332"/>
      <w:r w:rsidRPr="00BD2CDE">
        <w:t>ELASTICITIES TAB</w:t>
      </w:r>
      <w:bookmarkEnd w:id="16"/>
    </w:p>
    <w:p w:rsidR="003343DD" w:rsidRPr="00BD2CDE" w:rsidRDefault="003343DD" w:rsidP="00181A84">
      <w:pPr>
        <w:rPr>
          <w:sz w:val="24"/>
          <w:szCs w:val="24"/>
        </w:rPr>
      </w:pPr>
      <w:r w:rsidRPr="00BD2CDE">
        <w:rPr>
          <w:sz w:val="24"/>
          <w:szCs w:val="24"/>
        </w:rPr>
        <w:t>The price elasticity (of demand) table is a key operational element of CTAM. The default values in the table are the product of an extensive literature search of fuel and sector specific price elasticity of demand values. The literature search and averaging methodology are summa</w:t>
      </w:r>
      <w:r w:rsidR="00DC296F">
        <w:rPr>
          <w:sz w:val="24"/>
          <w:szCs w:val="24"/>
        </w:rPr>
        <w:t xml:space="preserve">rized in the spreadsheet </w:t>
      </w:r>
      <w:r w:rsidR="0049056D">
        <w:rPr>
          <w:sz w:val="24"/>
          <w:szCs w:val="24"/>
        </w:rPr>
        <w:t>“</w:t>
      </w:r>
      <w:r w:rsidR="00BD611F">
        <w:rPr>
          <w:sz w:val="24"/>
          <w:szCs w:val="24"/>
        </w:rPr>
        <w:t xml:space="preserve">CTAM </w:t>
      </w:r>
      <w:r w:rsidR="00A0779B">
        <w:rPr>
          <w:sz w:val="24"/>
          <w:szCs w:val="24"/>
        </w:rPr>
        <w:t xml:space="preserve">2015 </w:t>
      </w:r>
      <w:r w:rsidR="0049056D">
        <w:rPr>
          <w:sz w:val="24"/>
          <w:szCs w:val="24"/>
        </w:rPr>
        <w:t>Price Elasticity”</w:t>
      </w:r>
      <w:r w:rsidR="00AD2748">
        <w:rPr>
          <w:sz w:val="24"/>
          <w:szCs w:val="24"/>
        </w:rPr>
        <w:t>, which is discussed on</w:t>
      </w:r>
      <w:r w:rsidR="00AD2748" w:rsidRPr="00F44AEA">
        <w:rPr>
          <w:sz w:val="24"/>
          <w:szCs w:val="24"/>
        </w:rPr>
        <w:t xml:space="preserve"> </w:t>
      </w:r>
      <w:r w:rsidR="00733891">
        <w:rPr>
          <w:sz w:val="24"/>
          <w:szCs w:val="24"/>
        </w:rPr>
        <w:t>page 9</w:t>
      </w:r>
      <w:r w:rsidRPr="00F44AEA">
        <w:rPr>
          <w:sz w:val="24"/>
          <w:szCs w:val="24"/>
        </w:rPr>
        <w:t>.</w:t>
      </w:r>
    </w:p>
    <w:p w:rsidR="003343DD" w:rsidRPr="00BD2CDE" w:rsidRDefault="003343DD" w:rsidP="00181A84">
      <w:pPr>
        <w:rPr>
          <w:sz w:val="24"/>
          <w:szCs w:val="24"/>
        </w:rPr>
      </w:pPr>
      <w:r w:rsidRPr="00BD2CDE">
        <w:rPr>
          <w:sz w:val="24"/>
          <w:szCs w:val="24"/>
        </w:rPr>
        <w:t xml:space="preserve">The user has the option of inserting their own values in the price elasticity of demand </w:t>
      </w:r>
      <w:r w:rsidR="007B3B03">
        <w:rPr>
          <w:sz w:val="24"/>
          <w:szCs w:val="24"/>
        </w:rPr>
        <w:t xml:space="preserve">values into column D of the </w:t>
      </w:r>
      <w:r w:rsidRPr="00BD2CDE">
        <w:rPr>
          <w:sz w:val="24"/>
          <w:szCs w:val="24"/>
        </w:rPr>
        <w:t>table in place of the default values.</w:t>
      </w:r>
    </w:p>
    <w:p w:rsidR="003343DD" w:rsidRPr="00BD2CDE" w:rsidRDefault="003343DD" w:rsidP="00181A84">
      <w:pPr>
        <w:rPr>
          <w:sz w:val="24"/>
          <w:szCs w:val="24"/>
        </w:rPr>
      </w:pPr>
      <w:r w:rsidRPr="00BD2CDE">
        <w:rPr>
          <w:sz w:val="24"/>
          <w:szCs w:val="24"/>
        </w:rPr>
        <w:t xml:space="preserve">The table also has a “stickiness” parameter which can be thought of as the ramp or phase-in time required for </w:t>
      </w:r>
      <w:r w:rsidR="00C217F4">
        <w:rPr>
          <w:sz w:val="24"/>
          <w:szCs w:val="24"/>
        </w:rPr>
        <w:t>100 percent of the</w:t>
      </w:r>
      <w:r w:rsidRPr="00BD2CDE">
        <w:rPr>
          <w:sz w:val="24"/>
          <w:szCs w:val="24"/>
        </w:rPr>
        <w:t xml:space="preserve"> </w:t>
      </w:r>
      <w:r w:rsidR="009E1367">
        <w:rPr>
          <w:sz w:val="24"/>
          <w:szCs w:val="24"/>
        </w:rPr>
        <w:t xml:space="preserve">price </w:t>
      </w:r>
      <w:r w:rsidRPr="00BD2CDE">
        <w:rPr>
          <w:sz w:val="24"/>
          <w:szCs w:val="24"/>
        </w:rPr>
        <w:t xml:space="preserve">elasticity to be fully realized. This “stickiness” reflects the response time </w:t>
      </w:r>
      <w:r w:rsidR="00C217F4">
        <w:rPr>
          <w:sz w:val="24"/>
          <w:szCs w:val="24"/>
        </w:rPr>
        <w:t xml:space="preserve">necessary </w:t>
      </w:r>
      <w:r w:rsidRPr="00BD2CDE">
        <w:rPr>
          <w:sz w:val="24"/>
          <w:szCs w:val="24"/>
        </w:rPr>
        <w:t>for consumers to replace a piece of equipment</w:t>
      </w:r>
      <w:r w:rsidR="00C217F4">
        <w:rPr>
          <w:sz w:val="24"/>
          <w:szCs w:val="24"/>
        </w:rPr>
        <w:t xml:space="preserve"> (vehicles, furnaces, boilers, etc</w:t>
      </w:r>
      <w:r w:rsidR="00A70EAC">
        <w:rPr>
          <w:sz w:val="24"/>
          <w:szCs w:val="24"/>
        </w:rPr>
        <w:t>.</w:t>
      </w:r>
      <w:r w:rsidR="00C217F4">
        <w:rPr>
          <w:sz w:val="24"/>
          <w:szCs w:val="24"/>
        </w:rPr>
        <w:t>)</w:t>
      </w:r>
      <w:r w:rsidRPr="00BD2CDE">
        <w:rPr>
          <w:sz w:val="24"/>
          <w:szCs w:val="24"/>
        </w:rPr>
        <w:t xml:space="preserve"> after they face higher energy costs. Users may add </w:t>
      </w:r>
      <w:r w:rsidR="007B3B03">
        <w:rPr>
          <w:sz w:val="24"/>
          <w:szCs w:val="24"/>
        </w:rPr>
        <w:t>their own “stickiness” values in column G of</w:t>
      </w:r>
      <w:r w:rsidRPr="00BD2CDE">
        <w:rPr>
          <w:sz w:val="24"/>
          <w:szCs w:val="24"/>
        </w:rPr>
        <w:t xml:space="preserve"> the table.</w:t>
      </w:r>
    </w:p>
    <w:p w:rsidR="003343DD" w:rsidRPr="00BD2CDE" w:rsidRDefault="003343DD" w:rsidP="00181A84">
      <w:pPr>
        <w:pStyle w:val="Heading2"/>
      </w:pPr>
      <w:bookmarkStart w:id="17" w:name="_Toc414355333"/>
      <w:r w:rsidRPr="00BD2CDE">
        <w:lastRenderedPageBreak/>
        <w:t>RAMPS TAB</w:t>
      </w:r>
      <w:bookmarkEnd w:id="17"/>
    </w:p>
    <w:p w:rsidR="00461E97" w:rsidRDefault="00BD2CDE" w:rsidP="00181A84">
      <w:pPr>
        <w:rPr>
          <w:sz w:val="24"/>
          <w:szCs w:val="24"/>
        </w:rPr>
      </w:pPr>
      <w:r w:rsidRPr="00BD2CDE">
        <w:rPr>
          <w:sz w:val="24"/>
          <w:szCs w:val="24"/>
        </w:rPr>
        <w:t>This tab contains the ramp</w:t>
      </w:r>
      <w:r w:rsidR="00461E97">
        <w:rPr>
          <w:sz w:val="24"/>
          <w:szCs w:val="24"/>
        </w:rPr>
        <w:t xml:space="preserve"> rates for many parameters used in CTAM calculations. </w:t>
      </w:r>
      <w:r w:rsidR="00C217F4">
        <w:rPr>
          <w:sz w:val="24"/>
          <w:szCs w:val="24"/>
        </w:rPr>
        <w:t xml:space="preserve">The ramp rates are derived from ramp values input by the user in the Dashboard tab. </w:t>
      </w:r>
      <w:r w:rsidR="00461E97">
        <w:rPr>
          <w:sz w:val="24"/>
          <w:szCs w:val="24"/>
        </w:rPr>
        <w:t>An example is the carbon tax ramp default value of $5 per year</w:t>
      </w:r>
      <w:r w:rsidR="00C217F4">
        <w:rPr>
          <w:sz w:val="24"/>
          <w:szCs w:val="24"/>
        </w:rPr>
        <w:t xml:space="preserve"> in cell C7 of the Dashboard tab</w:t>
      </w:r>
      <w:r w:rsidR="00461E97">
        <w:rPr>
          <w:sz w:val="24"/>
          <w:szCs w:val="24"/>
        </w:rPr>
        <w:t>. No direct user input is needed in the tab.</w:t>
      </w:r>
    </w:p>
    <w:p w:rsidR="00461E97" w:rsidRPr="00461E97" w:rsidRDefault="00461E97" w:rsidP="00181A84">
      <w:pPr>
        <w:pStyle w:val="Heading2"/>
      </w:pPr>
      <w:bookmarkStart w:id="18" w:name="_Toc414355334"/>
      <w:r w:rsidRPr="00461E97">
        <w:t>PRICE SCENARIO TABS A, B, and C</w:t>
      </w:r>
      <w:bookmarkEnd w:id="18"/>
    </w:p>
    <w:p w:rsidR="00461E97" w:rsidRDefault="00461E97" w:rsidP="00181A84">
      <w:pPr>
        <w:rPr>
          <w:sz w:val="24"/>
          <w:szCs w:val="24"/>
        </w:rPr>
      </w:pPr>
      <w:r>
        <w:rPr>
          <w:sz w:val="24"/>
          <w:szCs w:val="24"/>
        </w:rPr>
        <w:t xml:space="preserve">CTAM will </w:t>
      </w:r>
      <w:r w:rsidR="00C217F4">
        <w:rPr>
          <w:sz w:val="24"/>
          <w:szCs w:val="24"/>
        </w:rPr>
        <w:t xml:space="preserve">eventually </w:t>
      </w:r>
      <w:r>
        <w:rPr>
          <w:sz w:val="24"/>
          <w:szCs w:val="24"/>
        </w:rPr>
        <w:t xml:space="preserve">contain three </w:t>
      </w:r>
      <w:r w:rsidR="003D72FD">
        <w:rPr>
          <w:sz w:val="24"/>
          <w:szCs w:val="24"/>
        </w:rPr>
        <w:t xml:space="preserve">AEO 2015 Pacific region </w:t>
      </w:r>
      <w:r>
        <w:rPr>
          <w:sz w:val="24"/>
          <w:szCs w:val="24"/>
        </w:rPr>
        <w:t>price scenarios</w:t>
      </w:r>
      <w:r w:rsidR="00A70EAC">
        <w:rPr>
          <w:sz w:val="24"/>
          <w:szCs w:val="24"/>
        </w:rPr>
        <w:t xml:space="preserve"> one of which can be selected by the users </w:t>
      </w:r>
      <w:r w:rsidR="003D72FD">
        <w:rPr>
          <w:sz w:val="24"/>
          <w:szCs w:val="24"/>
        </w:rPr>
        <w:t xml:space="preserve">on the Dashboard tab (cell D22) </w:t>
      </w:r>
      <w:r w:rsidR="00A70EAC">
        <w:rPr>
          <w:sz w:val="24"/>
          <w:szCs w:val="24"/>
        </w:rPr>
        <w:t>as the baseline for the model</w:t>
      </w:r>
      <w:r>
        <w:rPr>
          <w:sz w:val="24"/>
          <w:szCs w:val="24"/>
        </w:rPr>
        <w:t xml:space="preserve">. </w:t>
      </w:r>
      <w:r w:rsidR="003D72FD">
        <w:rPr>
          <w:sz w:val="24"/>
          <w:szCs w:val="24"/>
        </w:rPr>
        <w:t xml:space="preserve"> The default setting is scenario A.</w:t>
      </w:r>
      <w:r w:rsidR="008C66FA">
        <w:rPr>
          <w:sz w:val="24"/>
          <w:szCs w:val="24"/>
        </w:rPr>
        <w:t xml:space="preserve"> The price scenario tabs are shaded green</w:t>
      </w:r>
      <w:r w:rsidR="00B34F06">
        <w:rPr>
          <w:sz w:val="24"/>
          <w:szCs w:val="24"/>
        </w:rPr>
        <w:t xml:space="preserve"> in CTAM</w:t>
      </w:r>
      <w:r w:rsidR="008C66FA">
        <w:rPr>
          <w:sz w:val="24"/>
          <w:szCs w:val="24"/>
        </w:rPr>
        <w:t>.</w:t>
      </w:r>
    </w:p>
    <w:p w:rsidR="00461E97" w:rsidRPr="00461E97" w:rsidRDefault="00461E97" w:rsidP="00181A84">
      <w:pPr>
        <w:pStyle w:val="ListParagraph"/>
        <w:numPr>
          <w:ilvl w:val="0"/>
          <w:numId w:val="4"/>
        </w:numPr>
        <w:rPr>
          <w:sz w:val="24"/>
          <w:szCs w:val="24"/>
        </w:rPr>
      </w:pPr>
      <w:r w:rsidRPr="00461E97">
        <w:rPr>
          <w:sz w:val="24"/>
          <w:szCs w:val="24"/>
        </w:rPr>
        <w:t>Scenario A represents the AEO 2015 Pacific region reference case.</w:t>
      </w:r>
    </w:p>
    <w:p w:rsidR="00461E97" w:rsidRPr="00461E97" w:rsidRDefault="00461E97" w:rsidP="00181A84">
      <w:pPr>
        <w:pStyle w:val="ListParagraph"/>
        <w:numPr>
          <w:ilvl w:val="0"/>
          <w:numId w:val="4"/>
        </w:numPr>
        <w:rPr>
          <w:sz w:val="24"/>
          <w:szCs w:val="24"/>
        </w:rPr>
      </w:pPr>
      <w:r w:rsidRPr="00461E97">
        <w:rPr>
          <w:sz w:val="24"/>
          <w:szCs w:val="24"/>
        </w:rPr>
        <w:t>Scenario B represents the AEO 2015 Pacific region high energy cost case.</w:t>
      </w:r>
    </w:p>
    <w:p w:rsidR="00461E97" w:rsidRPr="00461E97" w:rsidRDefault="00461E97" w:rsidP="00181A84">
      <w:pPr>
        <w:pStyle w:val="ListParagraph"/>
        <w:numPr>
          <w:ilvl w:val="0"/>
          <w:numId w:val="4"/>
        </w:numPr>
        <w:rPr>
          <w:sz w:val="24"/>
          <w:szCs w:val="24"/>
        </w:rPr>
      </w:pPr>
      <w:r w:rsidRPr="00461E97">
        <w:rPr>
          <w:sz w:val="24"/>
          <w:szCs w:val="24"/>
        </w:rPr>
        <w:t>Scenario C represents the AEO 2015 Pacific region low energy cost case.</w:t>
      </w:r>
    </w:p>
    <w:p w:rsidR="00461E97" w:rsidRPr="00BD2CDE" w:rsidRDefault="00461E97" w:rsidP="00181A84">
      <w:pPr>
        <w:rPr>
          <w:sz w:val="24"/>
          <w:szCs w:val="24"/>
        </w:rPr>
      </w:pPr>
      <w:r>
        <w:rPr>
          <w:sz w:val="24"/>
          <w:szCs w:val="24"/>
        </w:rPr>
        <w:t>Users may substitute other AEO scenarios</w:t>
      </w:r>
      <w:r w:rsidR="00C217F4">
        <w:rPr>
          <w:sz w:val="24"/>
          <w:szCs w:val="24"/>
        </w:rPr>
        <w:t>, or their own price scenarios in these tabs</w:t>
      </w:r>
      <w:r w:rsidR="00B75E72">
        <w:rPr>
          <w:sz w:val="24"/>
          <w:szCs w:val="24"/>
        </w:rPr>
        <w:t xml:space="preserve">: see description of spreadsheet “CTAM 2015 WA Energy Forecast” </w:t>
      </w:r>
      <w:r w:rsidR="00733891">
        <w:rPr>
          <w:sz w:val="24"/>
          <w:szCs w:val="24"/>
        </w:rPr>
        <w:t>on page 8</w:t>
      </w:r>
      <w:r w:rsidR="00A85C0F">
        <w:rPr>
          <w:sz w:val="24"/>
          <w:szCs w:val="24"/>
        </w:rPr>
        <w:t>.</w:t>
      </w:r>
      <w:r w:rsidR="00C217F4" w:rsidRPr="003426A8">
        <w:rPr>
          <w:sz w:val="24"/>
          <w:szCs w:val="24"/>
        </w:rPr>
        <w:t xml:space="preserve"> </w:t>
      </w:r>
      <w:r w:rsidR="00C217F4">
        <w:rPr>
          <w:sz w:val="24"/>
          <w:szCs w:val="24"/>
        </w:rPr>
        <w:t>C</w:t>
      </w:r>
      <w:r>
        <w:rPr>
          <w:sz w:val="24"/>
          <w:szCs w:val="24"/>
        </w:rPr>
        <w:t xml:space="preserve">areful attention should be given to the order of the </w:t>
      </w:r>
      <w:r w:rsidR="00A0779B">
        <w:rPr>
          <w:sz w:val="24"/>
          <w:szCs w:val="24"/>
        </w:rPr>
        <w:t xml:space="preserve">fuel </w:t>
      </w:r>
      <w:r>
        <w:rPr>
          <w:sz w:val="24"/>
          <w:szCs w:val="24"/>
        </w:rPr>
        <w:t>pricing in the original AEO spreadsheet when copying and pasting</w:t>
      </w:r>
      <w:r w:rsidR="00C217F4">
        <w:rPr>
          <w:sz w:val="24"/>
          <w:szCs w:val="24"/>
        </w:rPr>
        <w:t xml:space="preserve"> </w:t>
      </w:r>
      <w:r w:rsidR="007E5FCF">
        <w:rPr>
          <w:sz w:val="24"/>
          <w:szCs w:val="24"/>
        </w:rPr>
        <w:t xml:space="preserve">into </w:t>
      </w:r>
      <w:r w:rsidR="00C217F4">
        <w:rPr>
          <w:sz w:val="24"/>
          <w:szCs w:val="24"/>
        </w:rPr>
        <w:t>the price scenario</w:t>
      </w:r>
      <w:r w:rsidR="007E5FCF">
        <w:rPr>
          <w:sz w:val="24"/>
          <w:szCs w:val="24"/>
        </w:rPr>
        <w:t xml:space="preserve"> tab</w:t>
      </w:r>
      <w:r w:rsidR="00C217F4">
        <w:rPr>
          <w:sz w:val="24"/>
          <w:szCs w:val="24"/>
        </w:rPr>
        <w:t>s</w:t>
      </w:r>
      <w:r>
        <w:rPr>
          <w:sz w:val="24"/>
          <w:szCs w:val="24"/>
        </w:rPr>
        <w:t>.</w:t>
      </w:r>
    </w:p>
    <w:p w:rsidR="003343DD" w:rsidRPr="00461E97" w:rsidRDefault="00461E97" w:rsidP="00181A84">
      <w:pPr>
        <w:pStyle w:val="Heading2"/>
      </w:pPr>
      <w:bookmarkStart w:id="19" w:name="_Toc414355335"/>
      <w:r w:rsidRPr="00461E97">
        <w:t>CONSUMPTION SCENARIOS TABS A, B, and C</w:t>
      </w:r>
      <w:bookmarkEnd w:id="19"/>
    </w:p>
    <w:p w:rsidR="0012433F" w:rsidRDefault="0012433F" w:rsidP="00181A84">
      <w:pPr>
        <w:rPr>
          <w:sz w:val="24"/>
          <w:szCs w:val="24"/>
        </w:rPr>
      </w:pPr>
      <w:r>
        <w:rPr>
          <w:sz w:val="24"/>
          <w:szCs w:val="24"/>
        </w:rPr>
        <w:t xml:space="preserve">The consumption scenario tabs A, B, and C </w:t>
      </w:r>
      <w:r w:rsidR="00A0779B">
        <w:rPr>
          <w:sz w:val="24"/>
          <w:szCs w:val="24"/>
        </w:rPr>
        <w:t>is</w:t>
      </w:r>
      <w:r w:rsidR="0060678F">
        <w:rPr>
          <w:sz w:val="24"/>
          <w:szCs w:val="24"/>
        </w:rPr>
        <w:t xml:space="preserve"> associated with</w:t>
      </w:r>
      <w:r w:rsidR="00A0779B">
        <w:rPr>
          <w:sz w:val="24"/>
          <w:szCs w:val="24"/>
        </w:rPr>
        <w:t xml:space="preserve"> a</w:t>
      </w:r>
      <w:r>
        <w:rPr>
          <w:sz w:val="24"/>
          <w:szCs w:val="24"/>
        </w:rPr>
        <w:t xml:space="preserve"> sim</w:t>
      </w:r>
      <w:r w:rsidR="00A0779B">
        <w:rPr>
          <w:sz w:val="24"/>
          <w:szCs w:val="24"/>
        </w:rPr>
        <w:t>ilarly named price scenario tab</w:t>
      </w:r>
      <w:r>
        <w:rPr>
          <w:sz w:val="24"/>
          <w:szCs w:val="24"/>
        </w:rPr>
        <w:t xml:space="preserve">. </w:t>
      </w:r>
      <w:r w:rsidR="003D72FD">
        <w:rPr>
          <w:sz w:val="24"/>
          <w:szCs w:val="24"/>
        </w:rPr>
        <w:t xml:space="preserve">From the Dashboard tab the CTAM user will select one of the scenarios as the baseline for the model. </w:t>
      </w:r>
      <w:r>
        <w:rPr>
          <w:sz w:val="24"/>
          <w:szCs w:val="24"/>
        </w:rPr>
        <w:t>The scenarios are derived from the AEO 2015 Pacific region consumption</w:t>
      </w:r>
      <w:r w:rsidR="00C217F4">
        <w:rPr>
          <w:sz w:val="24"/>
          <w:szCs w:val="24"/>
        </w:rPr>
        <w:t xml:space="preserve"> forecast</w:t>
      </w:r>
      <w:r>
        <w:rPr>
          <w:sz w:val="24"/>
          <w:szCs w:val="24"/>
        </w:rPr>
        <w:t xml:space="preserve"> spreadsheets: reference, high energy cost, and low energy cost cases. </w:t>
      </w:r>
      <w:r w:rsidR="008C66FA">
        <w:rPr>
          <w:sz w:val="24"/>
          <w:szCs w:val="24"/>
        </w:rPr>
        <w:t xml:space="preserve">Theses tabs are </w:t>
      </w:r>
      <w:r w:rsidR="00B34F06">
        <w:rPr>
          <w:sz w:val="24"/>
          <w:szCs w:val="24"/>
        </w:rPr>
        <w:t xml:space="preserve">also </w:t>
      </w:r>
      <w:r w:rsidR="008C66FA">
        <w:rPr>
          <w:sz w:val="24"/>
          <w:szCs w:val="24"/>
        </w:rPr>
        <w:t>shaded green.</w:t>
      </w:r>
    </w:p>
    <w:p w:rsidR="00F41A77" w:rsidRDefault="00F41A77" w:rsidP="00181A84">
      <w:pPr>
        <w:rPr>
          <w:sz w:val="24"/>
          <w:szCs w:val="24"/>
        </w:rPr>
      </w:pPr>
      <w:r>
        <w:rPr>
          <w:sz w:val="24"/>
          <w:szCs w:val="24"/>
        </w:rPr>
        <w:t xml:space="preserve">The consumption scenario data in the </w:t>
      </w:r>
      <w:r w:rsidR="00B75E72">
        <w:rPr>
          <w:sz w:val="24"/>
          <w:szCs w:val="24"/>
        </w:rPr>
        <w:t>CTAM 3.0a</w:t>
      </w:r>
      <w:r>
        <w:rPr>
          <w:sz w:val="24"/>
          <w:szCs w:val="24"/>
        </w:rPr>
        <w:t xml:space="preserve"> as posted on the Commerce website does not need to be modified. If the CTAM user prefers to use </w:t>
      </w:r>
      <w:r w:rsidR="003D72FD">
        <w:rPr>
          <w:sz w:val="24"/>
          <w:szCs w:val="24"/>
        </w:rPr>
        <w:t xml:space="preserve">different </w:t>
      </w:r>
      <w:r>
        <w:rPr>
          <w:sz w:val="24"/>
          <w:szCs w:val="24"/>
        </w:rPr>
        <w:t xml:space="preserve">price and consumption scenarios than those already loaded into CTAM then the </w:t>
      </w:r>
      <w:r w:rsidR="00ED40A0">
        <w:rPr>
          <w:sz w:val="24"/>
          <w:szCs w:val="24"/>
        </w:rPr>
        <w:t>spreadsheet “CTAM 2015 WA Energy Forecast” must be used</w:t>
      </w:r>
      <w:r>
        <w:rPr>
          <w:sz w:val="24"/>
          <w:szCs w:val="24"/>
        </w:rPr>
        <w:t>.</w:t>
      </w:r>
      <w:r w:rsidR="00ED40A0">
        <w:rPr>
          <w:sz w:val="24"/>
          <w:szCs w:val="24"/>
        </w:rPr>
        <w:t xml:space="preserve"> See description on</w:t>
      </w:r>
      <w:r w:rsidR="00ED40A0" w:rsidRPr="003426A8">
        <w:rPr>
          <w:sz w:val="24"/>
          <w:szCs w:val="24"/>
        </w:rPr>
        <w:t xml:space="preserve"> </w:t>
      </w:r>
      <w:r w:rsidR="00733891">
        <w:rPr>
          <w:sz w:val="24"/>
          <w:szCs w:val="24"/>
        </w:rPr>
        <w:t>page 8</w:t>
      </w:r>
      <w:r w:rsidR="00ED40A0" w:rsidRPr="003426A8">
        <w:rPr>
          <w:sz w:val="24"/>
          <w:szCs w:val="24"/>
        </w:rPr>
        <w:t>.</w:t>
      </w:r>
    </w:p>
    <w:p w:rsidR="0012433F" w:rsidRPr="0012433F" w:rsidRDefault="003552A0" w:rsidP="00181A84">
      <w:pPr>
        <w:pStyle w:val="Heading2"/>
      </w:pPr>
      <w:bookmarkStart w:id="20" w:name="_Toc414355336"/>
      <w:r>
        <w:t>BASELINE TAB</w:t>
      </w:r>
      <w:bookmarkEnd w:id="20"/>
    </w:p>
    <w:p w:rsidR="0012433F" w:rsidRDefault="0012433F" w:rsidP="00181A84">
      <w:pPr>
        <w:rPr>
          <w:sz w:val="24"/>
          <w:szCs w:val="24"/>
        </w:rPr>
      </w:pPr>
      <w:r>
        <w:rPr>
          <w:sz w:val="24"/>
          <w:szCs w:val="24"/>
        </w:rPr>
        <w:t>Baseline energy prices, consumption, emissions, and expend</w:t>
      </w:r>
      <w:r w:rsidR="00C217F4">
        <w:rPr>
          <w:sz w:val="24"/>
          <w:szCs w:val="24"/>
        </w:rPr>
        <w:t>itures</w:t>
      </w:r>
      <w:r>
        <w:rPr>
          <w:sz w:val="24"/>
          <w:szCs w:val="24"/>
        </w:rPr>
        <w:t xml:space="preserve"> represent the situation where there is no carbon tax. They contain calculated or extracted data and should not be altered by the user.</w:t>
      </w:r>
      <w:r w:rsidR="00B34F06">
        <w:rPr>
          <w:sz w:val="24"/>
          <w:szCs w:val="24"/>
        </w:rPr>
        <w:t xml:space="preserve"> These tabs are shaded yellow in CTAM</w:t>
      </w:r>
      <w:r w:rsidR="00A85C0F">
        <w:rPr>
          <w:sz w:val="24"/>
          <w:szCs w:val="24"/>
        </w:rPr>
        <w:t>.</w:t>
      </w:r>
    </w:p>
    <w:p w:rsidR="0012433F" w:rsidRPr="0012433F" w:rsidRDefault="0012433F" w:rsidP="00181A84">
      <w:pPr>
        <w:pStyle w:val="Heading2"/>
      </w:pPr>
      <w:bookmarkStart w:id="21" w:name="_Toc414355337"/>
      <w:r w:rsidRPr="0012433F">
        <w:t>PRICE CHANGE TAB</w:t>
      </w:r>
      <w:bookmarkEnd w:id="21"/>
    </w:p>
    <w:p w:rsidR="001D5DF9" w:rsidRDefault="0012433F" w:rsidP="00181A84">
      <w:pPr>
        <w:rPr>
          <w:sz w:val="24"/>
          <w:szCs w:val="24"/>
        </w:rPr>
      </w:pPr>
      <w:r>
        <w:rPr>
          <w:sz w:val="24"/>
          <w:szCs w:val="24"/>
        </w:rPr>
        <w:t xml:space="preserve">This tab </w:t>
      </w:r>
      <w:r w:rsidR="00F41A77">
        <w:rPr>
          <w:sz w:val="24"/>
          <w:szCs w:val="24"/>
        </w:rPr>
        <w:t>presents the change</w:t>
      </w:r>
      <w:r w:rsidR="001D5DF9">
        <w:rPr>
          <w:sz w:val="24"/>
          <w:szCs w:val="24"/>
        </w:rPr>
        <w:t xml:space="preserve"> in </w:t>
      </w:r>
      <w:r w:rsidR="00F41A77">
        <w:rPr>
          <w:sz w:val="24"/>
          <w:szCs w:val="24"/>
        </w:rPr>
        <w:t xml:space="preserve">the </w:t>
      </w:r>
      <w:r w:rsidR="001D5DF9">
        <w:rPr>
          <w:sz w:val="24"/>
          <w:szCs w:val="24"/>
        </w:rPr>
        <w:t xml:space="preserve">price of </w:t>
      </w:r>
      <w:r w:rsidR="00F41A77">
        <w:rPr>
          <w:sz w:val="24"/>
          <w:szCs w:val="24"/>
        </w:rPr>
        <w:t xml:space="preserve">a specific </w:t>
      </w:r>
      <w:r w:rsidR="001D5DF9">
        <w:rPr>
          <w:sz w:val="24"/>
          <w:szCs w:val="24"/>
        </w:rPr>
        <w:t xml:space="preserve">fuel due to the </w:t>
      </w:r>
      <w:r w:rsidR="00F41A77">
        <w:rPr>
          <w:sz w:val="24"/>
          <w:szCs w:val="24"/>
        </w:rPr>
        <w:t xml:space="preserve">imposition of a </w:t>
      </w:r>
      <w:r w:rsidR="001D5DF9">
        <w:rPr>
          <w:sz w:val="24"/>
          <w:szCs w:val="24"/>
        </w:rPr>
        <w:t xml:space="preserve">carbon tax, presented as a percent (increase) for </w:t>
      </w:r>
      <w:r w:rsidR="00F41A77">
        <w:rPr>
          <w:sz w:val="24"/>
          <w:szCs w:val="24"/>
        </w:rPr>
        <w:t>the fuel</w:t>
      </w:r>
      <w:r w:rsidR="001D5DF9">
        <w:rPr>
          <w:sz w:val="24"/>
          <w:szCs w:val="24"/>
        </w:rPr>
        <w:t xml:space="preserve"> in a given year. </w:t>
      </w:r>
    </w:p>
    <w:p w:rsidR="00AD2748" w:rsidRPr="00A0779B" w:rsidRDefault="001D5DF9" w:rsidP="00181A84">
      <w:pPr>
        <w:spacing w:after="0"/>
        <w:jc w:val="center"/>
        <w:rPr>
          <w:sz w:val="24"/>
          <w:szCs w:val="24"/>
          <w:u w:val="single"/>
        </w:rPr>
      </w:pPr>
      <w:r w:rsidRPr="008C21C0">
        <w:rPr>
          <w:sz w:val="24"/>
          <w:szCs w:val="24"/>
        </w:rPr>
        <w:t xml:space="preserve">Price change (%) = </w:t>
      </w:r>
      <w:r w:rsidR="008C21C0" w:rsidRPr="008C21C0">
        <w:rPr>
          <w:sz w:val="24"/>
          <w:szCs w:val="24"/>
        </w:rPr>
        <w:tab/>
      </w:r>
      <w:r w:rsidRPr="001D5DF9">
        <w:rPr>
          <w:sz w:val="24"/>
          <w:szCs w:val="24"/>
          <w:u w:val="single"/>
        </w:rPr>
        <w:t>Carbon tax rate</w:t>
      </w:r>
    </w:p>
    <w:p w:rsidR="001D5DF9" w:rsidRDefault="008C21C0" w:rsidP="00181A84">
      <w:pPr>
        <w:ind w:left="1440" w:firstLine="7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00C55ED1">
        <w:rPr>
          <w:sz w:val="24"/>
          <w:szCs w:val="24"/>
        </w:rPr>
        <w:t xml:space="preserve">         </w:t>
      </w:r>
      <w:r w:rsidR="001D5DF9">
        <w:rPr>
          <w:sz w:val="24"/>
          <w:szCs w:val="24"/>
        </w:rPr>
        <w:t>Baseline price</w:t>
      </w:r>
    </w:p>
    <w:p w:rsidR="003552A0" w:rsidRPr="0012433F" w:rsidRDefault="003552A0" w:rsidP="00181A84">
      <w:pPr>
        <w:pStyle w:val="Heading2"/>
      </w:pPr>
      <w:bookmarkStart w:id="22" w:name="_Toc414355338"/>
      <w:r>
        <w:t>ADJUSTED PRICE</w:t>
      </w:r>
      <w:r w:rsidRPr="0012433F">
        <w:t xml:space="preserve"> TAB</w:t>
      </w:r>
      <w:bookmarkEnd w:id="22"/>
    </w:p>
    <w:p w:rsidR="001D5DF9" w:rsidRDefault="00B34F06" w:rsidP="00181A84">
      <w:pPr>
        <w:rPr>
          <w:sz w:val="24"/>
          <w:szCs w:val="24"/>
        </w:rPr>
      </w:pPr>
      <w:r>
        <w:rPr>
          <w:sz w:val="24"/>
          <w:szCs w:val="24"/>
        </w:rPr>
        <w:t xml:space="preserve">The adjusted tabs (six tabs: price change, energy prices, consumption, emissions, expenditures and revenue) are shaded light blue in CTAM and represent the case where the carbon tax is applied to the </w:t>
      </w:r>
      <w:r>
        <w:rPr>
          <w:sz w:val="24"/>
          <w:szCs w:val="24"/>
        </w:rPr>
        <w:lastRenderedPageBreak/>
        <w:t xml:space="preserve">carbon content of the fuels. </w:t>
      </w:r>
      <w:r w:rsidR="008C21C0">
        <w:rPr>
          <w:sz w:val="24"/>
          <w:szCs w:val="24"/>
        </w:rPr>
        <w:t>The</w:t>
      </w:r>
      <w:r w:rsidR="008C66FA">
        <w:rPr>
          <w:sz w:val="24"/>
          <w:szCs w:val="24"/>
        </w:rPr>
        <w:t xml:space="preserve"> adjusted price is the</w:t>
      </w:r>
      <w:r w:rsidR="008C21C0">
        <w:rPr>
          <w:sz w:val="24"/>
          <w:szCs w:val="24"/>
        </w:rPr>
        <w:t xml:space="preserve"> product of the baseline price (by fuel, by year) times one, plus the percent price change (see previous tab).</w:t>
      </w:r>
    </w:p>
    <w:p w:rsidR="008C21C0" w:rsidRPr="008C21C0" w:rsidRDefault="008C21C0" w:rsidP="00181A84">
      <w:pPr>
        <w:spacing w:after="0"/>
        <w:jc w:val="center"/>
        <w:rPr>
          <w:sz w:val="24"/>
          <w:szCs w:val="24"/>
        </w:rPr>
      </w:pPr>
      <w:r w:rsidRPr="008C21C0">
        <w:rPr>
          <w:sz w:val="24"/>
          <w:szCs w:val="24"/>
        </w:rPr>
        <w:t>Adjusted price = Baseline price x (1 + price change)</w:t>
      </w:r>
    </w:p>
    <w:p w:rsidR="008C21C0" w:rsidRPr="0012433F" w:rsidRDefault="008C21C0" w:rsidP="00181A84">
      <w:pPr>
        <w:pStyle w:val="Heading2"/>
      </w:pPr>
      <w:bookmarkStart w:id="23" w:name="_Toc414355339"/>
      <w:r>
        <w:t>ADJUSTED CONSUMPTION</w:t>
      </w:r>
      <w:r w:rsidRPr="0012433F">
        <w:t xml:space="preserve"> TAB</w:t>
      </w:r>
      <w:bookmarkEnd w:id="23"/>
    </w:p>
    <w:p w:rsidR="008C21C0" w:rsidRDefault="008C21C0" w:rsidP="00181A84">
      <w:pPr>
        <w:rPr>
          <w:sz w:val="24"/>
          <w:szCs w:val="24"/>
        </w:rPr>
      </w:pPr>
      <w:r>
        <w:rPr>
          <w:sz w:val="24"/>
          <w:szCs w:val="24"/>
        </w:rPr>
        <w:t>C</w:t>
      </w:r>
      <w:r w:rsidR="00B34F06">
        <w:rPr>
          <w:sz w:val="24"/>
          <w:szCs w:val="24"/>
        </w:rPr>
        <w:t>onsumers adjust their consumption of fuels</w:t>
      </w:r>
      <w:r>
        <w:rPr>
          <w:sz w:val="24"/>
          <w:szCs w:val="24"/>
        </w:rPr>
        <w:t xml:space="preserve"> because of the higher cost created by the carbon tax.</w:t>
      </w:r>
    </w:p>
    <w:p w:rsidR="008C21C0" w:rsidRDefault="008C21C0" w:rsidP="00181A84">
      <w:pPr>
        <w:ind w:left="720"/>
        <w:rPr>
          <w:sz w:val="24"/>
          <w:szCs w:val="24"/>
        </w:rPr>
      </w:pPr>
      <w:r>
        <w:rPr>
          <w:sz w:val="24"/>
          <w:szCs w:val="24"/>
        </w:rPr>
        <w:t>Adjusted consumption = Baseline consumption x price change x price elasticity + baseline consumption</w:t>
      </w:r>
    </w:p>
    <w:p w:rsidR="008C21C0" w:rsidRDefault="008C21C0" w:rsidP="00181A84">
      <w:pPr>
        <w:rPr>
          <w:sz w:val="24"/>
          <w:szCs w:val="24"/>
        </w:rPr>
      </w:pPr>
      <w:r>
        <w:rPr>
          <w:sz w:val="24"/>
          <w:szCs w:val="24"/>
        </w:rPr>
        <w:t>Note: price elasticity is a negative value, so adjusted consumption is</w:t>
      </w:r>
      <w:r w:rsidR="00F41A77">
        <w:rPr>
          <w:sz w:val="24"/>
          <w:szCs w:val="24"/>
        </w:rPr>
        <w:t xml:space="preserve"> always</w:t>
      </w:r>
      <w:r>
        <w:rPr>
          <w:sz w:val="24"/>
          <w:szCs w:val="24"/>
        </w:rPr>
        <w:t xml:space="preserve"> less than baseline consumption.</w:t>
      </w:r>
    </w:p>
    <w:p w:rsidR="00A0779B" w:rsidRPr="0012433F" w:rsidRDefault="00A0779B" w:rsidP="00181A84">
      <w:pPr>
        <w:pStyle w:val="Heading2"/>
      </w:pPr>
      <w:bookmarkStart w:id="24" w:name="_Toc414355340"/>
      <w:r>
        <w:t>ADJUSTED EMISSIONS</w:t>
      </w:r>
      <w:r w:rsidRPr="0012433F">
        <w:t xml:space="preserve"> TAB</w:t>
      </w:r>
      <w:bookmarkEnd w:id="24"/>
    </w:p>
    <w:p w:rsidR="00A0779B" w:rsidRDefault="00A0779B" w:rsidP="00181A84">
      <w:pPr>
        <w:rPr>
          <w:sz w:val="24"/>
          <w:szCs w:val="24"/>
        </w:rPr>
      </w:pPr>
      <w:r>
        <w:rPr>
          <w:sz w:val="24"/>
          <w:szCs w:val="24"/>
        </w:rPr>
        <w:t>Adjusted emissions are the product of adjusted consumption and an emission factor for a specific fuel.</w:t>
      </w:r>
    </w:p>
    <w:p w:rsidR="00A0779B" w:rsidRPr="00A0779B" w:rsidRDefault="00A0779B" w:rsidP="00181A84">
      <w:pPr>
        <w:rPr>
          <w:sz w:val="24"/>
          <w:szCs w:val="24"/>
        </w:rPr>
      </w:pPr>
      <w:r>
        <w:rPr>
          <w:sz w:val="24"/>
          <w:szCs w:val="24"/>
        </w:rPr>
        <w:tab/>
        <w:t>Adjusted emissions = adjusted consumption x emission factor</w:t>
      </w:r>
    </w:p>
    <w:p w:rsidR="008C21C0" w:rsidRPr="0012433F" w:rsidRDefault="008C21C0" w:rsidP="00181A84">
      <w:pPr>
        <w:pStyle w:val="Heading2"/>
      </w:pPr>
      <w:bookmarkStart w:id="25" w:name="_Toc414355341"/>
      <w:r>
        <w:t xml:space="preserve">ADJUSTED </w:t>
      </w:r>
      <w:r w:rsidR="00A0779B">
        <w:t>EXPENDITURES</w:t>
      </w:r>
      <w:r w:rsidRPr="0012433F">
        <w:t xml:space="preserve"> TAB</w:t>
      </w:r>
      <w:bookmarkEnd w:id="25"/>
    </w:p>
    <w:p w:rsidR="008C21C0" w:rsidRDefault="008C21C0" w:rsidP="00181A84">
      <w:pPr>
        <w:rPr>
          <w:sz w:val="24"/>
          <w:szCs w:val="24"/>
        </w:rPr>
      </w:pPr>
      <w:r>
        <w:rPr>
          <w:sz w:val="24"/>
          <w:szCs w:val="24"/>
        </w:rPr>
        <w:t>Adjusted e</w:t>
      </w:r>
      <w:r w:rsidR="00050E37">
        <w:rPr>
          <w:sz w:val="24"/>
          <w:szCs w:val="24"/>
        </w:rPr>
        <w:t xml:space="preserve">xpenditures </w:t>
      </w:r>
      <w:r>
        <w:rPr>
          <w:sz w:val="24"/>
          <w:szCs w:val="24"/>
        </w:rPr>
        <w:t>are the product of adjusted</w:t>
      </w:r>
      <w:r w:rsidR="00050E37">
        <w:rPr>
          <w:sz w:val="24"/>
          <w:szCs w:val="24"/>
        </w:rPr>
        <w:t xml:space="preserve"> price and adjusted consumption</w:t>
      </w:r>
      <w:r>
        <w:rPr>
          <w:sz w:val="24"/>
          <w:szCs w:val="24"/>
        </w:rPr>
        <w:t xml:space="preserve"> for a specific fuel.</w:t>
      </w:r>
    </w:p>
    <w:p w:rsidR="008C21C0" w:rsidRDefault="008C21C0" w:rsidP="00181A84">
      <w:pPr>
        <w:rPr>
          <w:sz w:val="24"/>
          <w:szCs w:val="24"/>
        </w:rPr>
      </w:pPr>
      <w:r>
        <w:rPr>
          <w:sz w:val="24"/>
          <w:szCs w:val="24"/>
        </w:rPr>
        <w:tab/>
        <w:t>Adjusted expenditures = adjusted price x adjusted consumption</w:t>
      </w:r>
    </w:p>
    <w:p w:rsidR="008C21C0" w:rsidRPr="0012433F" w:rsidRDefault="008C21C0" w:rsidP="00181A84">
      <w:pPr>
        <w:pStyle w:val="Heading2"/>
      </w:pPr>
      <w:bookmarkStart w:id="26" w:name="_Toc414355342"/>
      <w:r>
        <w:t>REVENUE</w:t>
      </w:r>
      <w:r w:rsidRPr="0012433F">
        <w:t xml:space="preserve"> TAB</w:t>
      </w:r>
      <w:bookmarkEnd w:id="26"/>
    </w:p>
    <w:p w:rsidR="00F41A77" w:rsidRDefault="00F41A77" w:rsidP="00181A84">
      <w:pPr>
        <w:rPr>
          <w:sz w:val="24"/>
          <w:szCs w:val="24"/>
        </w:rPr>
      </w:pPr>
      <w:r>
        <w:rPr>
          <w:sz w:val="24"/>
          <w:szCs w:val="24"/>
        </w:rPr>
        <w:t xml:space="preserve">Revenue </w:t>
      </w:r>
      <w:r w:rsidR="00172A17">
        <w:rPr>
          <w:sz w:val="24"/>
          <w:szCs w:val="24"/>
        </w:rPr>
        <w:t>is the product of adjusted consumption and the carbon tax rate.</w:t>
      </w:r>
    </w:p>
    <w:p w:rsidR="008C21C0" w:rsidRDefault="008C21C0" w:rsidP="00181A84">
      <w:pPr>
        <w:rPr>
          <w:sz w:val="24"/>
          <w:szCs w:val="24"/>
        </w:rPr>
      </w:pPr>
      <w:r>
        <w:rPr>
          <w:sz w:val="24"/>
          <w:szCs w:val="24"/>
        </w:rPr>
        <w:t>Revenue (</w:t>
      </w:r>
      <w:r w:rsidR="00172A17">
        <w:rPr>
          <w:sz w:val="24"/>
          <w:szCs w:val="24"/>
        </w:rPr>
        <w:t xml:space="preserve">$ </w:t>
      </w:r>
      <w:r>
        <w:rPr>
          <w:sz w:val="24"/>
          <w:szCs w:val="24"/>
        </w:rPr>
        <w:t>millions) = adjusted consumption (quadrillion Btu) x 1000 x carbon tax ($/MMBtu)</w:t>
      </w:r>
    </w:p>
    <w:p w:rsidR="008C21C0" w:rsidRPr="007E5FCF" w:rsidRDefault="007E5FCF" w:rsidP="00181A84">
      <w:pPr>
        <w:pStyle w:val="Heading2"/>
      </w:pPr>
      <w:bookmarkStart w:id="27" w:name="_Toc414355343"/>
      <w:r>
        <w:t>VERSIONS TAB</w:t>
      </w:r>
      <w:bookmarkEnd w:id="27"/>
    </w:p>
    <w:p w:rsidR="007E5FCF" w:rsidRDefault="007E5FCF" w:rsidP="00181A84">
      <w:pPr>
        <w:rPr>
          <w:sz w:val="24"/>
          <w:szCs w:val="24"/>
        </w:rPr>
      </w:pPr>
      <w:r>
        <w:rPr>
          <w:sz w:val="24"/>
          <w:szCs w:val="24"/>
        </w:rPr>
        <w:t>This tab contains the version history of CTAM as modifications have been made to the spreadsheet.</w:t>
      </w:r>
    </w:p>
    <w:p w:rsidR="007E5FCF" w:rsidRPr="007E5FCF" w:rsidRDefault="007E5FCF" w:rsidP="00181A84">
      <w:pPr>
        <w:pStyle w:val="Heading2"/>
      </w:pPr>
      <w:bookmarkStart w:id="28" w:name="_Toc414355344"/>
      <w:r w:rsidRPr="007E5FCF">
        <w:t>UNITS TAB</w:t>
      </w:r>
      <w:bookmarkEnd w:id="28"/>
    </w:p>
    <w:p w:rsidR="008C21C0" w:rsidRDefault="007E5FCF" w:rsidP="00181A84">
      <w:pPr>
        <w:rPr>
          <w:sz w:val="24"/>
          <w:szCs w:val="24"/>
        </w:rPr>
      </w:pPr>
      <w:r>
        <w:rPr>
          <w:sz w:val="24"/>
          <w:szCs w:val="24"/>
        </w:rPr>
        <w:t>This tab contains conversion factors for physical units.</w:t>
      </w:r>
    </w:p>
    <w:p w:rsidR="00507989" w:rsidRDefault="00507989">
      <w:pPr>
        <w:rPr>
          <w:rFonts w:asciiTheme="majorHAnsi" w:eastAsiaTheme="majorEastAsia" w:hAnsiTheme="majorHAnsi" w:cstheme="majorBidi"/>
          <w:b/>
          <w:bCs/>
          <w:color w:val="365F91" w:themeColor="accent1" w:themeShade="BF"/>
          <w:sz w:val="32"/>
          <w:szCs w:val="32"/>
        </w:rPr>
      </w:pPr>
      <w:bookmarkStart w:id="29" w:name="_Toc414355345"/>
      <w:r>
        <w:rPr>
          <w:sz w:val="32"/>
          <w:szCs w:val="32"/>
        </w:rPr>
        <w:br w:type="page"/>
      </w:r>
    </w:p>
    <w:p w:rsidR="00ED40A0" w:rsidRPr="00D97073" w:rsidRDefault="00ED40A0" w:rsidP="00181A84">
      <w:pPr>
        <w:pStyle w:val="Heading1"/>
        <w:spacing w:before="0"/>
        <w:rPr>
          <w:sz w:val="32"/>
          <w:szCs w:val="32"/>
        </w:rPr>
      </w:pPr>
      <w:r w:rsidRPr="00D97073">
        <w:rPr>
          <w:sz w:val="32"/>
          <w:szCs w:val="32"/>
        </w:rPr>
        <w:lastRenderedPageBreak/>
        <w:t>CTAM 2015 WA E</w:t>
      </w:r>
      <w:r w:rsidR="00A92A7D" w:rsidRPr="00D97073">
        <w:rPr>
          <w:sz w:val="32"/>
          <w:szCs w:val="32"/>
        </w:rPr>
        <w:t>NERGY FORECAST</w:t>
      </w:r>
      <w:bookmarkEnd w:id="29"/>
    </w:p>
    <w:p w:rsidR="00181A84" w:rsidRDefault="00181A84" w:rsidP="00181A84">
      <w:pPr>
        <w:spacing w:after="0"/>
        <w:rPr>
          <w:sz w:val="24"/>
          <w:szCs w:val="24"/>
        </w:rPr>
      </w:pPr>
    </w:p>
    <w:p w:rsidR="00ED40A0" w:rsidRDefault="00ED40A0" w:rsidP="00181A84">
      <w:pPr>
        <w:spacing w:after="0"/>
        <w:rPr>
          <w:sz w:val="24"/>
          <w:szCs w:val="24"/>
        </w:rPr>
      </w:pPr>
      <w:r w:rsidRPr="00444B0C">
        <w:rPr>
          <w:sz w:val="24"/>
          <w:szCs w:val="24"/>
        </w:rPr>
        <w:t xml:space="preserve">If the </w:t>
      </w:r>
      <w:r>
        <w:rPr>
          <w:sz w:val="24"/>
          <w:szCs w:val="24"/>
        </w:rPr>
        <w:t xml:space="preserve">user of the </w:t>
      </w:r>
      <w:r w:rsidRPr="001323D4">
        <w:rPr>
          <w:rFonts w:eastAsia="Times New Roman" w:cs="Times New Roman"/>
          <w:color w:val="000000"/>
          <w:sz w:val="24"/>
          <w:szCs w:val="24"/>
        </w:rPr>
        <w:t xml:space="preserve">Carbon Tax Assessment Model (CTAM) </w:t>
      </w:r>
      <w:r w:rsidRPr="00444B0C">
        <w:rPr>
          <w:sz w:val="24"/>
          <w:szCs w:val="24"/>
        </w:rPr>
        <w:t xml:space="preserve">wants to utilize an energy price and consumption forecast other than the three forecast </w:t>
      </w:r>
      <w:r>
        <w:rPr>
          <w:sz w:val="24"/>
          <w:szCs w:val="24"/>
        </w:rPr>
        <w:t xml:space="preserve">data </w:t>
      </w:r>
      <w:r w:rsidRPr="00444B0C">
        <w:rPr>
          <w:sz w:val="24"/>
          <w:szCs w:val="24"/>
        </w:rPr>
        <w:t>pairs</w:t>
      </w:r>
      <w:r w:rsidR="00A0779B">
        <w:rPr>
          <w:sz w:val="24"/>
          <w:szCs w:val="24"/>
        </w:rPr>
        <w:t xml:space="preserve"> (price and consumption)</w:t>
      </w:r>
      <w:r w:rsidRPr="00444B0C">
        <w:rPr>
          <w:sz w:val="24"/>
          <w:szCs w:val="24"/>
        </w:rPr>
        <w:t xml:space="preserve"> that are pre-loaded in the primary CTAM</w:t>
      </w:r>
      <w:r>
        <w:rPr>
          <w:sz w:val="24"/>
          <w:szCs w:val="24"/>
        </w:rPr>
        <w:t xml:space="preserve"> 3.0a</w:t>
      </w:r>
      <w:r w:rsidRPr="00444B0C">
        <w:rPr>
          <w:sz w:val="24"/>
          <w:szCs w:val="24"/>
        </w:rPr>
        <w:t xml:space="preserve"> spreadsheet, the</w:t>
      </w:r>
      <w:r>
        <w:rPr>
          <w:sz w:val="24"/>
          <w:szCs w:val="24"/>
        </w:rPr>
        <w:t>n the</w:t>
      </w:r>
      <w:r w:rsidRPr="00444B0C">
        <w:rPr>
          <w:sz w:val="24"/>
          <w:szCs w:val="24"/>
        </w:rPr>
        <w:t xml:space="preserve"> </w:t>
      </w:r>
      <w:r>
        <w:rPr>
          <w:sz w:val="24"/>
          <w:szCs w:val="24"/>
        </w:rPr>
        <w:t xml:space="preserve">CTAM 2015 WA </w:t>
      </w:r>
      <w:r w:rsidRPr="00444B0C">
        <w:rPr>
          <w:sz w:val="24"/>
          <w:szCs w:val="24"/>
        </w:rPr>
        <w:t>Energy Forecast</w:t>
      </w:r>
      <w:r>
        <w:rPr>
          <w:sz w:val="24"/>
          <w:szCs w:val="24"/>
        </w:rPr>
        <w:t xml:space="preserve"> (EF)</w:t>
      </w:r>
      <w:r w:rsidRPr="00444B0C">
        <w:rPr>
          <w:sz w:val="24"/>
          <w:szCs w:val="24"/>
        </w:rPr>
        <w:t xml:space="preserve"> spreadsheet must be used.</w:t>
      </w:r>
    </w:p>
    <w:p w:rsidR="00A85C0F" w:rsidRPr="00444B0C" w:rsidRDefault="00A85C0F" w:rsidP="00181A84">
      <w:pPr>
        <w:spacing w:after="0"/>
        <w:rPr>
          <w:sz w:val="24"/>
          <w:szCs w:val="24"/>
        </w:rPr>
      </w:pPr>
    </w:p>
    <w:p w:rsidR="00ED40A0" w:rsidRDefault="00ED40A0" w:rsidP="00181A84">
      <w:pPr>
        <w:rPr>
          <w:sz w:val="24"/>
          <w:szCs w:val="24"/>
        </w:rPr>
      </w:pPr>
      <w:r w:rsidRPr="00444B0C">
        <w:rPr>
          <w:sz w:val="24"/>
          <w:szCs w:val="24"/>
        </w:rPr>
        <w:t xml:space="preserve">The </w:t>
      </w:r>
      <w:r>
        <w:rPr>
          <w:sz w:val="24"/>
          <w:szCs w:val="24"/>
        </w:rPr>
        <w:t>EF</w:t>
      </w:r>
      <w:r w:rsidRPr="00444B0C">
        <w:rPr>
          <w:sz w:val="24"/>
          <w:szCs w:val="24"/>
        </w:rPr>
        <w:t xml:space="preserve"> spreadsheet </w:t>
      </w:r>
      <w:r>
        <w:rPr>
          <w:sz w:val="24"/>
          <w:szCs w:val="24"/>
        </w:rPr>
        <w:t xml:space="preserve">converts the Energy Information Administration’s (EIA) Annual Energy Outlook (AEO) Pacific region energy price and consumption forecasts into Washington State specific price and consumption forecasts, which can then be transferred into the primary CTAM </w:t>
      </w:r>
      <w:r w:rsidR="001C6F48">
        <w:rPr>
          <w:sz w:val="24"/>
          <w:szCs w:val="24"/>
        </w:rPr>
        <w:t>modeling spreadsheet (CTAM 3.0a</w:t>
      </w:r>
      <w:r>
        <w:rPr>
          <w:sz w:val="24"/>
          <w:szCs w:val="24"/>
        </w:rPr>
        <w:t>).</w:t>
      </w:r>
    </w:p>
    <w:p w:rsidR="00ED40A0" w:rsidRDefault="00ED40A0" w:rsidP="00181A84">
      <w:pPr>
        <w:rPr>
          <w:sz w:val="24"/>
          <w:szCs w:val="24"/>
        </w:rPr>
      </w:pPr>
      <w:r>
        <w:rPr>
          <w:sz w:val="24"/>
          <w:szCs w:val="24"/>
        </w:rPr>
        <w:t>To prepare the Washington State specific price and consumption forecasts CTAM user will first need to transfer the desired alternative AEO Pacific region forecasts (EIA prepares multiple alternative scenarios for each AEO release) to the pages designated “AEO regional price”</w:t>
      </w:r>
      <w:r w:rsidR="00A85C0F">
        <w:rPr>
          <w:sz w:val="24"/>
          <w:szCs w:val="24"/>
        </w:rPr>
        <w:t xml:space="preserve"> and “AEO regional consumption”.</w:t>
      </w:r>
      <w:r>
        <w:rPr>
          <w:sz w:val="24"/>
          <w:szCs w:val="24"/>
        </w:rPr>
        <w:t xml:space="preserve"> The EF spreadsheet prorates the AEO Pacific region consumption data to represent Washington energy consumption using the factors in the page labelled “AEO proration”. The proration factors are derived from sets of Washington state and Pacific region historical data derived from the EIA </w:t>
      </w:r>
      <w:r w:rsidR="00A85C0F">
        <w:rPr>
          <w:sz w:val="24"/>
          <w:szCs w:val="24"/>
        </w:rPr>
        <w:t>State Energy Data System (SEDS).</w:t>
      </w:r>
    </w:p>
    <w:p w:rsidR="00ED40A0" w:rsidRDefault="00ED40A0" w:rsidP="00181A84">
      <w:pPr>
        <w:rPr>
          <w:sz w:val="24"/>
          <w:szCs w:val="24"/>
        </w:rPr>
      </w:pPr>
      <w:r>
        <w:rPr>
          <w:sz w:val="24"/>
          <w:szCs w:val="24"/>
        </w:rPr>
        <w:t>The worksheet in the tab labelled “electricity” converts the AEO Pacific region electricity price data to a Washington state level electricity price forecast. In addition, a Washington state electricity fuel mix forecast is created in this tab. An industrial process emission forecast is created on the page labelled “process emissions”. The forecast relies on historical data and the state forecast of personal income growth.</w:t>
      </w:r>
    </w:p>
    <w:p w:rsidR="00ED40A0" w:rsidRDefault="00ED40A0" w:rsidP="00181A84">
      <w:pPr>
        <w:rPr>
          <w:sz w:val="24"/>
          <w:szCs w:val="24"/>
        </w:rPr>
      </w:pPr>
      <w:r>
        <w:rPr>
          <w:sz w:val="24"/>
          <w:szCs w:val="24"/>
        </w:rPr>
        <w:t xml:space="preserve">The “price forecast” page in the EF spreadsheet is the </w:t>
      </w:r>
      <w:r w:rsidR="00521C5F">
        <w:rPr>
          <w:sz w:val="24"/>
          <w:szCs w:val="24"/>
        </w:rPr>
        <w:t>resulting Washington state</w:t>
      </w:r>
      <w:r>
        <w:rPr>
          <w:sz w:val="24"/>
          <w:szCs w:val="24"/>
        </w:rPr>
        <w:t xml:space="preserve"> energy price forecast, and can be transferred to </w:t>
      </w:r>
      <w:r w:rsidR="00521C5F">
        <w:rPr>
          <w:sz w:val="24"/>
          <w:szCs w:val="24"/>
        </w:rPr>
        <w:t>the desired “price scenario”</w:t>
      </w:r>
      <w:r>
        <w:rPr>
          <w:sz w:val="24"/>
          <w:szCs w:val="24"/>
        </w:rPr>
        <w:t xml:space="preserve"> tab in the primary CTAM 3.0a spreadsheet. The “consumption </w:t>
      </w:r>
      <w:r w:rsidR="00050E37">
        <w:rPr>
          <w:sz w:val="24"/>
          <w:szCs w:val="24"/>
        </w:rPr>
        <w:t>forecast” page is the Washington</w:t>
      </w:r>
      <w:r w:rsidR="00521C5F">
        <w:rPr>
          <w:sz w:val="24"/>
          <w:szCs w:val="24"/>
        </w:rPr>
        <w:t xml:space="preserve"> state</w:t>
      </w:r>
      <w:r>
        <w:rPr>
          <w:sz w:val="24"/>
          <w:szCs w:val="24"/>
        </w:rPr>
        <w:t xml:space="preserve"> energy consumption forecas</w:t>
      </w:r>
      <w:r w:rsidR="00050E37">
        <w:rPr>
          <w:sz w:val="24"/>
          <w:szCs w:val="24"/>
        </w:rPr>
        <w:t>t and can be transferred to the desired “</w:t>
      </w:r>
      <w:r w:rsidR="00521C5F">
        <w:rPr>
          <w:sz w:val="24"/>
          <w:szCs w:val="24"/>
        </w:rPr>
        <w:t xml:space="preserve">consumption scenario” tab </w:t>
      </w:r>
      <w:r>
        <w:rPr>
          <w:sz w:val="24"/>
          <w:szCs w:val="24"/>
        </w:rPr>
        <w:t xml:space="preserve">in </w:t>
      </w:r>
      <w:r w:rsidR="00521C5F">
        <w:rPr>
          <w:sz w:val="24"/>
          <w:szCs w:val="24"/>
        </w:rPr>
        <w:t>CTAM 3.0a</w:t>
      </w:r>
      <w:r>
        <w:rPr>
          <w:sz w:val="24"/>
          <w:szCs w:val="24"/>
        </w:rPr>
        <w:t>. Care should be taken when transferring the AEO data into the EF spreadsheet. Fuel type labels in the source spreadsheet must align exactly with those in the EF. The same care must be shown when transferring the resulting Washington state energy price and consumption data into the CTAM 3.0a spreadsheet.</w:t>
      </w:r>
    </w:p>
    <w:p w:rsidR="00016053" w:rsidRDefault="00016053">
      <w:pPr>
        <w:rPr>
          <w:rFonts w:asciiTheme="majorHAnsi" w:eastAsiaTheme="majorEastAsia" w:hAnsiTheme="majorHAnsi" w:cstheme="majorBidi"/>
          <w:b/>
          <w:bCs/>
          <w:color w:val="365F91" w:themeColor="accent1" w:themeShade="BF"/>
          <w:sz w:val="32"/>
          <w:szCs w:val="32"/>
        </w:rPr>
      </w:pPr>
      <w:bookmarkStart w:id="30" w:name="_Toc414355346"/>
      <w:r>
        <w:rPr>
          <w:sz w:val="32"/>
          <w:szCs w:val="32"/>
        </w:rPr>
        <w:br w:type="page"/>
      </w:r>
    </w:p>
    <w:p w:rsidR="00ED40A0" w:rsidRPr="00D97073" w:rsidRDefault="00ED40A0" w:rsidP="00181A84">
      <w:pPr>
        <w:pStyle w:val="Heading1"/>
        <w:spacing w:before="0"/>
        <w:rPr>
          <w:sz w:val="32"/>
          <w:szCs w:val="32"/>
        </w:rPr>
      </w:pPr>
      <w:r w:rsidRPr="00D97073">
        <w:rPr>
          <w:sz w:val="32"/>
          <w:szCs w:val="32"/>
        </w:rPr>
        <w:lastRenderedPageBreak/>
        <w:t>CTAM</w:t>
      </w:r>
      <w:r w:rsidR="00652316" w:rsidRPr="00D97073">
        <w:rPr>
          <w:sz w:val="32"/>
          <w:szCs w:val="32"/>
        </w:rPr>
        <w:t xml:space="preserve"> 2015</w:t>
      </w:r>
      <w:r w:rsidR="001C6F48" w:rsidRPr="00D97073">
        <w:rPr>
          <w:sz w:val="32"/>
          <w:szCs w:val="32"/>
        </w:rPr>
        <w:t xml:space="preserve"> P</w:t>
      </w:r>
      <w:r w:rsidR="00A92A7D" w:rsidRPr="00D97073">
        <w:rPr>
          <w:sz w:val="32"/>
          <w:szCs w:val="32"/>
        </w:rPr>
        <w:t>RICE ELASTICITY</w:t>
      </w:r>
      <w:bookmarkEnd w:id="30"/>
    </w:p>
    <w:p w:rsidR="00181A84" w:rsidRDefault="00181A84" w:rsidP="00181A84">
      <w:pPr>
        <w:spacing w:after="0"/>
        <w:rPr>
          <w:sz w:val="24"/>
          <w:szCs w:val="24"/>
        </w:rPr>
      </w:pPr>
    </w:p>
    <w:p w:rsidR="00ED40A0" w:rsidRDefault="00ED40A0" w:rsidP="00181A84">
      <w:pPr>
        <w:spacing w:after="0"/>
        <w:rPr>
          <w:sz w:val="24"/>
          <w:szCs w:val="24"/>
        </w:rPr>
      </w:pPr>
      <w:r>
        <w:rPr>
          <w:sz w:val="24"/>
          <w:szCs w:val="24"/>
        </w:rPr>
        <w:t>This spreadsheet contains the latest review of price elasticity of demand literature. The tab labeled “Elasticities” illustrates which studies were used to establish fuel specific price elasticity values that are found in the primary spreadsheet CTAM 3.0a. The stickiness values used to phase in the fuel specific price elasticity values are also shown on the “Elasticities” tab. The tabs “New Literature” and “New Estimate” contain additional study details. The user can review the price elasticity information, remove studies that they feel are not representative, or add their own elasticity stu</w:t>
      </w:r>
      <w:r w:rsidR="00050E37">
        <w:rPr>
          <w:sz w:val="24"/>
          <w:szCs w:val="24"/>
        </w:rPr>
        <w:t>dies, and compute new values which can be</w:t>
      </w:r>
      <w:r>
        <w:rPr>
          <w:sz w:val="24"/>
          <w:szCs w:val="24"/>
        </w:rPr>
        <w:t xml:space="preserve"> use</w:t>
      </w:r>
      <w:r w:rsidR="00050E37">
        <w:rPr>
          <w:sz w:val="24"/>
          <w:szCs w:val="24"/>
        </w:rPr>
        <w:t>d</w:t>
      </w:r>
      <w:r>
        <w:rPr>
          <w:sz w:val="24"/>
          <w:szCs w:val="24"/>
        </w:rPr>
        <w:t xml:space="preserve"> in the primary CTAM spreadsheet</w:t>
      </w:r>
      <w:r w:rsidR="00050E37">
        <w:rPr>
          <w:sz w:val="24"/>
          <w:szCs w:val="24"/>
        </w:rPr>
        <w:t xml:space="preserve"> tab designated “Elasticities”</w:t>
      </w:r>
      <w:r>
        <w:rPr>
          <w:sz w:val="24"/>
          <w:szCs w:val="24"/>
        </w:rPr>
        <w:t>.</w:t>
      </w:r>
    </w:p>
    <w:p w:rsidR="00181A84" w:rsidRDefault="00181A84" w:rsidP="00181A84">
      <w:pPr>
        <w:pStyle w:val="Heading1"/>
        <w:spacing w:before="0"/>
      </w:pPr>
      <w:bookmarkStart w:id="31" w:name="_Toc414355347"/>
    </w:p>
    <w:p w:rsidR="00ED40A0" w:rsidRPr="00D97073" w:rsidRDefault="00ED40A0" w:rsidP="00181A84">
      <w:pPr>
        <w:pStyle w:val="Heading1"/>
        <w:spacing w:before="0"/>
        <w:rPr>
          <w:sz w:val="32"/>
          <w:szCs w:val="32"/>
        </w:rPr>
      </w:pPr>
      <w:r w:rsidRPr="00D97073">
        <w:rPr>
          <w:sz w:val="32"/>
          <w:szCs w:val="32"/>
        </w:rPr>
        <w:t>CTAM AEO 2014 P</w:t>
      </w:r>
      <w:r w:rsidR="00A92A7D" w:rsidRPr="00D97073">
        <w:rPr>
          <w:sz w:val="32"/>
          <w:szCs w:val="32"/>
        </w:rPr>
        <w:t>OLICIES and PROGRAMS</w:t>
      </w:r>
      <w:bookmarkEnd w:id="31"/>
    </w:p>
    <w:p w:rsidR="00181A84" w:rsidRDefault="00181A84" w:rsidP="00181A84">
      <w:pPr>
        <w:spacing w:after="0"/>
        <w:rPr>
          <w:sz w:val="24"/>
          <w:szCs w:val="24"/>
        </w:rPr>
      </w:pPr>
    </w:p>
    <w:p w:rsidR="00ED40A0" w:rsidRDefault="00ED40A0" w:rsidP="00181A84">
      <w:pPr>
        <w:spacing w:after="0"/>
        <w:rPr>
          <w:sz w:val="24"/>
          <w:szCs w:val="24"/>
        </w:rPr>
      </w:pPr>
      <w:r>
        <w:rPr>
          <w:sz w:val="24"/>
          <w:szCs w:val="24"/>
        </w:rPr>
        <w:t>This spreadsheet provides a review of the policies and programs that have been incorporated and those that have not been incorporated into Annual Energy Outlook (AEO) 2014.</w:t>
      </w:r>
    </w:p>
    <w:p w:rsidR="001323D4" w:rsidRPr="00BD2CDE" w:rsidRDefault="001323D4" w:rsidP="00181A84">
      <w:pPr>
        <w:rPr>
          <w:sz w:val="24"/>
          <w:szCs w:val="24"/>
        </w:rPr>
      </w:pPr>
    </w:p>
    <w:sectPr w:rsidR="001323D4" w:rsidRPr="00BD2CDE" w:rsidSect="00AA1395">
      <w:footerReference w:type="default" r:id="rId15"/>
      <w:pgSz w:w="12240" w:h="15840"/>
      <w:pgMar w:top="1008" w:right="1008" w:bottom="81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0F" w:rsidRDefault="00A85C0F" w:rsidP="00A85C0F">
      <w:pPr>
        <w:spacing w:after="0" w:line="240" w:lineRule="auto"/>
      </w:pPr>
      <w:r>
        <w:separator/>
      </w:r>
    </w:p>
  </w:endnote>
  <w:endnote w:type="continuationSeparator" w:id="0">
    <w:p w:rsidR="00A85C0F" w:rsidRDefault="00A85C0F" w:rsidP="00A8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95" w:rsidRDefault="00CF49FD" w:rsidP="00CF49FD">
    <w:pPr>
      <w:pStyle w:val="Footer"/>
      <w:jc w:val="center"/>
    </w:pPr>
    <w:r>
      <w:t xml:space="preserve">Page </w:t>
    </w:r>
    <w:r w:rsidR="00AA1395">
      <w:fldChar w:fldCharType="begin"/>
    </w:r>
    <w:r w:rsidR="00AA1395">
      <w:instrText xml:space="preserve"> PAGE   \* MERGEFORMAT </w:instrText>
    </w:r>
    <w:r w:rsidR="00AA1395">
      <w:fldChar w:fldCharType="separate"/>
    </w:r>
    <w:r w:rsidR="00EF6444">
      <w:rPr>
        <w:noProof/>
      </w:rPr>
      <w:t>9</w:t>
    </w:r>
    <w:r w:rsidR="00AA13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0F" w:rsidRDefault="00A85C0F" w:rsidP="00A85C0F">
      <w:pPr>
        <w:spacing w:after="0" w:line="240" w:lineRule="auto"/>
      </w:pPr>
      <w:r>
        <w:separator/>
      </w:r>
    </w:p>
  </w:footnote>
  <w:footnote w:type="continuationSeparator" w:id="0">
    <w:p w:rsidR="00A85C0F" w:rsidRDefault="00A85C0F" w:rsidP="00A85C0F">
      <w:pPr>
        <w:spacing w:after="0" w:line="240" w:lineRule="auto"/>
      </w:pPr>
      <w:r>
        <w:continuationSeparator/>
      </w:r>
    </w:p>
  </w:footnote>
  <w:footnote w:id="1">
    <w:p w:rsidR="00A85C0F" w:rsidRDefault="00A85C0F">
      <w:pPr>
        <w:pStyle w:val="FootnoteText"/>
      </w:pPr>
      <w:r>
        <w:rPr>
          <w:rStyle w:val="FootnoteReference"/>
        </w:rPr>
        <w:footnoteRef/>
      </w:r>
      <w:r>
        <w:t xml:space="preserve"> </w:t>
      </w:r>
      <w:hyperlink r:id="rId1" w:history="1">
        <w:r w:rsidRPr="00A85C0F">
          <w:rPr>
            <w:rStyle w:val="Hyperlink"/>
          </w:rPr>
          <w:t>http://www.eia.gov/forecasts/aeo/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68D"/>
    <w:multiLevelType w:val="hybridMultilevel"/>
    <w:tmpl w:val="521C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877B4"/>
    <w:multiLevelType w:val="hybridMultilevel"/>
    <w:tmpl w:val="F3246D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DD3545"/>
    <w:multiLevelType w:val="hybridMultilevel"/>
    <w:tmpl w:val="D9BC7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43E20"/>
    <w:multiLevelType w:val="multilevel"/>
    <w:tmpl w:val="25FA3548"/>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900"/>
        </w:tabs>
        <w:ind w:left="900" w:hanging="360"/>
      </w:pPr>
      <w:rPr>
        <w:rFonts w:ascii="Wingdings" w:hAnsi="Wingdings" w:hint="default"/>
        <w:sz w:val="20"/>
      </w:rPr>
    </w:lvl>
    <w:lvl w:ilvl="5" w:tentative="1">
      <w:start w:val="1"/>
      <w:numFmt w:val="bullet"/>
      <w:lvlText w:val=""/>
      <w:lvlJc w:val="left"/>
      <w:pPr>
        <w:tabs>
          <w:tab w:val="num" w:pos="1620"/>
        </w:tabs>
        <w:ind w:left="1620" w:hanging="360"/>
      </w:pPr>
      <w:rPr>
        <w:rFonts w:ascii="Wingdings" w:hAnsi="Wingdings" w:hint="default"/>
        <w:sz w:val="20"/>
      </w:rPr>
    </w:lvl>
    <w:lvl w:ilvl="6" w:tentative="1">
      <w:start w:val="1"/>
      <w:numFmt w:val="bullet"/>
      <w:lvlText w:val=""/>
      <w:lvlJc w:val="left"/>
      <w:pPr>
        <w:tabs>
          <w:tab w:val="num" w:pos="2340"/>
        </w:tabs>
        <w:ind w:left="2340" w:hanging="360"/>
      </w:pPr>
      <w:rPr>
        <w:rFonts w:ascii="Wingdings" w:hAnsi="Wingdings" w:hint="default"/>
        <w:sz w:val="20"/>
      </w:rPr>
    </w:lvl>
    <w:lvl w:ilvl="7" w:tentative="1">
      <w:start w:val="1"/>
      <w:numFmt w:val="bullet"/>
      <w:lvlText w:val=""/>
      <w:lvlJc w:val="left"/>
      <w:pPr>
        <w:tabs>
          <w:tab w:val="num" w:pos="3060"/>
        </w:tabs>
        <w:ind w:left="3060" w:hanging="360"/>
      </w:pPr>
      <w:rPr>
        <w:rFonts w:ascii="Wingdings" w:hAnsi="Wingdings" w:hint="default"/>
        <w:sz w:val="20"/>
      </w:rPr>
    </w:lvl>
    <w:lvl w:ilvl="8" w:tentative="1">
      <w:start w:val="1"/>
      <w:numFmt w:val="bullet"/>
      <w:lvlText w:val=""/>
      <w:lvlJc w:val="left"/>
      <w:pPr>
        <w:tabs>
          <w:tab w:val="num" w:pos="3780"/>
        </w:tabs>
        <w:ind w:left="3780" w:hanging="360"/>
      </w:pPr>
      <w:rPr>
        <w:rFonts w:ascii="Wingdings" w:hAnsi="Wingdings" w:hint="default"/>
        <w:sz w:val="20"/>
      </w:rPr>
    </w:lvl>
  </w:abstractNum>
  <w:abstractNum w:abstractNumId="4">
    <w:nsid w:val="73457B81"/>
    <w:multiLevelType w:val="hybridMultilevel"/>
    <w:tmpl w:val="BAF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D4"/>
    <w:rsid w:val="00016053"/>
    <w:rsid w:val="00050E37"/>
    <w:rsid w:val="000C4DD2"/>
    <w:rsid w:val="0012433F"/>
    <w:rsid w:val="001323D4"/>
    <w:rsid w:val="00172A17"/>
    <w:rsid w:val="00181A84"/>
    <w:rsid w:val="001C6F48"/>
    <w:rsid w:val="001D5DF9"/>
    <w:rsid w:val="00270E10"/>
    <w:rsid w:val="00297B17"/>
    <w:rsid w:val="003343DD"/>
    <w:rsid w:val="003426A8"/>
    <w:rsid w:val="003552A0"/>
    <w:rsid w:val="003D72FD"/>
    <w:rsid w:val="004351D7"/>
    <w:rsid w:val="00461E97"/>
    <w:rsid w:val="0049056D"/>
    <w:rsid w:val="00501228"/>
    <w:rsid w:val="00507989"/>
    <w:rsid w:val="00521C5F"/>
    <w:rsid w:val="0060678F"/>
    <w:rsid w:val="00652316"/>
    <w:rsid w:val="006902AD"/>
    <w:rsid w:val="006A03F8"/>
    <w:rsid w:val="00733891"/>
    <w:rsid w:val="007731F8"/>
    <w:rsid w:val="007949C6"/>
    <w:rsid w:val="007B3510"/>
    <w:rsid w:val="007B3B03"/>
    <w:rsid w:val="007E5FCF"/>
    <w:rsid w:val="008B51F1"/>
    <w:rsid w:val="008C21C0"/>
    <w:rsid w:val="008C66FA"/>
    <w:rsid w:val="009E1367"/>
    <w:rsid w:val="00A0779B"/>
    <w:rsid w:val="00A23DB7"/>
    <w:rsid w:val="00A70EAC"/>
    <w:rsid w:val="00A85C0F"/>
    <w:rsid w:val="00A875F8"/>
    <w:rsid w:val="00A92A7D"/>
    <w:rsid w:val="00AA1395"/>
    <w:rsid w:val="00AD2748"/>
    <w:rsid w:val="00AD27F5"/>
    <w:rsid w:val="00B34F06"/>
    <w:rsid w:val="00B75E72"/>
    <w:rsid w:val="00BB50A9"/>
    <w:rsid w:val="00BB55CD"/>
    <w:rsid w:val="00BD2CDE"/>
    <w:rsid w:val="00BD611F"/>
    <w:rsid w:val="00BE5925"/>
    <w:rsid w:val="00C217F4"/>
    <w:rsid w:val="00C25A61"/>
    <w:rsid w:val="00C55ED1"/>
    <w:rsid w:val="00C706B8"/>
    <w:rsid w:val="00CF49FD"/>
    <w:rsid w:val="00D97073"/>
    <w:rsid w:val="00DC296F"/>
    <w:rsid w:val="00DC6A02"/>
    <w:rsid w:val="00ED40A0"/>
    <w:rsid w:val="00EF6444"/>
    <w:rsid w:val="00EF72F1"/>
    <w:rsid w:val="00F14792"/>
    <w:rsid w:val="00F14C5C"/>
    <w:rsid w:val="00F37810"/>
    <w:rsid w:val="00F41A77"/>
    <w:rsid w:val="00F44AEA"/>
    <w:rsid w:val="00F74671"/>
    <w:rsid w:val="00F8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6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6F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3D4"/>
    <w:pPr>
      <w:ind w:left="720"/>
      <w:contextualSpacing/>
    </w:pPr>
  </w:style>
  <w:style w:type="character" w:customStyle="1" w:styleId="Heading1Char">
    <w:name w:val="Heading 1 Char"/>
    <w:basedOn w:val="DefaultParagraphFont"/>
    <w:link w:val="Heading1"/>
    <w:uiPriority w:val="9"/>
    <w:rsid w:val="001C6F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6F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6F4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1C6F48"/>
    <w:pPr>
      <w:outlineLvl w:val="9"/>
    </w:pPr>
    <w:rPr>
      <w:lang w:eastAsia="ja-JP"/>
    </w:rPr>
  </w:style>
  <w:style w:type="paragraph" w:styleId="TOC1">
    <w:name w:val="toc 1"/>
    <w:basedOn w:val="Normal"/>
    <w:next w:val="Normal"/>
    <w:autoRedefine/>
    <w:uiPriority w:val="39"/>
    <w:unhideWhenUsed/>
    <w:rsid w:val="001C6F48"/>
    <w:pPr>
      <w:spacing w:after="100"/>
    </w:pPr>
  </w:style>
  <w:style w:type="paragraph" w:styleId="TOC2">
    <w:name w:val="toc 2"/>
    <w:basedOn w:val="Normal"/>
    <w:next w:val="Normal"/>
    <w:autoRedefine/>
    <w:uiPriority w:val="39"/>
    <w:unhideWhenUsed/>
    <w:rsid w:val="001C6F48"/>
    <w:pPr>
      <w:spacing w:after="100"/>
      <w:ind w:left="220"/>
    </w:pPr>
  </w:style>
  <w:style w:type="paragraph" w:styleId="TOC3">
    <w:name w:val="toc 3"/>
    <w:basedOn w:val="Normal"/>
    <w:next w:val="Normal"/>
    <w:autoRedefine/>
    <w:uiPriority w:val="39"/>
    <w:unhideWhenUsed/>
    <w:rsid w:val="001C6F48"/>
    <w:pPr>
      <w:spacing w:after="100"/>
      <w:ind w:left="440"/>
    </w:pPr>
  </w:style>
  <w:style w:type="character" w:styleId="Hyperlink">
    <w:name w:val="Hyperlink"/>
    <w:basedOn w:val="DefaultParagraphFont"/>
    <w:uiPriority w:val="99"/>
    <w:unhideWhenUsed/>
    <w:rsid w:val="001C6F48"/>
    <w:rPr>
      <w:color w:val="0000FF" w:themeColor="hyperlink"/>
      <w:u w:val="single"/>
    </w:rPr>
  </w:style>
  <w:style w:type="paragraph" w:styleId="BalloonText">
    <w:name w:val="Balloon Text"/>
    <w:basedOn w:val="Normal"/>
    <w:link w:val="BalloonTextChar"/>
    <w:uiPriority w:val="99"/>
    <w:semiHidden/>
    <w:unhideWhenUsed/>
    <w:rsid w:val="001C6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48"/>
    <w:rPr>
      <w:rFonts w:ascii="Tahoma" w:hAnsi="Tahoma" w:cs="Tahoma"/>
      <w:sz w:val="16"/>
      <w:szCs w:val="16"/>
    </w:rPr>
  </w:style>
  <w:style w:type="paragraph" w:styleId="FootnoteText">
    <w:name w:val="footnote text"/>
    <w:basedOn w:val="Normal"/>
    <w:link w:val="FootnoteTextChar"/>
    <w:uiPriority w:val="99"/>
    <w:semiHidden/>
    <w:unhideWhenUsed/>
    <w:rsid w:val="00A85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C0F"/>
    <w:rPr>
      <w:sz w:val="20"/>
      <w:szCs w:val="20"/>
    </w:rPr>
  </w:style>
  <w:style w:type="character" w:styleId="FootnoteReference">
    <w:name w:val="footnote reference"/>
    <w:basedOn w:val="DefaultParagraphFont"/>
    <w:uiPriority w:val="99"/>
    <w:semiHidden/>
    <w:unhideWhenUsed/>
    <w:rsid w:val="00A85C0F"/>
    <w:rPr>
      <w:vertAlign w:val="superscript"/>
    </w:rPr>
  </w:style>
  <w:style w:type="paragraph" w:customStyle="1" w:styleId="COM-ReportTitle">
    <w:name w:val="COM-Report Title"/>
    <w:basedOn w:val="Normal"/>
    <w:link w:val="COMReportTitleChar"/>
    <w:qFormat/>
    <w:locked/>
    <w:rsid w:val="00F14792"/>
    <w:pPr>
      <w:spacing w:after="240" w:line="240" w:lineRule="auto"/>
      <w:jc w:val="right"/>
    </w:pPr>
    <w:rPr>
      <w:rFonts w:ascii="Calibri" w:eastAsia="Times New Roman" w:hAnsi="Calibri" w:cs="Arial"/>
      <w:b/>
      <w:bCs/>
      <w:color w:val="5080B2"/>
      <w:sz w:val="56"/>
      <w:szCs w:val="56"/>
      <w:lang w:eastAsia="x-none"/>
    </w:rPr>
  </w:style>
  <w:style w:type="paragraph" w:customStyle="1" w:styleId="COM-ReportSub-Title">
    <w:name w:val="COM-Report Sub-Title"/>
    <w:basedOn w:val="Normal"/>
    <w:link w:val="COM-ReportSub-TitleChar"/>
    <w:qFormat/>
    <w:locked/>
    <w:rsid w:val="00F14792"/>
    <w:pPr>
      <w:tabs>
        <w:tab w:val="left" w:pos="6144"/>
      </w:tabs>
      <w:spacing w:after="0" w:line="240" w:lineRule="auto"/>
    </w:pPr>
    <w:rPr>
      <w:rFonts w:ascii="Calibri" w:eastAsia="Times New Roman" w:hAnsi="Calibri" w:cs="Times New Roman"/>
      <w:bCs/>
      <w:i/>
      <w:sz w:val="28"/>
      <w:szCs w:val="28"/>
      <w:lang w:val="x-none" w:eastAsia="x-none"/>
    </w:rPr>
  </w:style>
  <w:style w:type="character" w:customStyle="1" w:styleId="COM-ReportSub-TitleChar">
    <w:name w:val="COM-Report Sub-Title Char"/>
    <w:link w:val="COM-ReportSub-Title"/>
    <w:rsid w:val="00F14792"/>
    <w:rPr>
      <w:rFonts w:ascii="Calibri" w:eastAsia="Times New Roman" w:hAnsi="Calibri" w:cs="Times New Roman"/>
      <w:bCs/>
      <w:i/>
      <w:sz w:val="28"/>
      <w:szCs w:val="28"/>
      <w:lang w:val="x-none" w:eastAsia="x-none"/>
    </w:rPr>
  </w:style>
  <w:style w:type="character" w:customStyle="1" w:styleId="COMReportTitleChar">
    <w:name w:val="COM Report Title Char"/>
    <w:basedOn w:val="DefaultParagraphFont"/>
    <w:link w:val="COM-ReportTitle"/>
    <w:rsid w:val="00F14792"/>
    <w:rPr>
      <w:rFonts w:ascii="Calibri" w:eastAsia="Times New Roman" w:hAnsi="Calibri" w:cs="Arial"/>
      <w:b/>
      <w:bCs/>
      <w:color w:val="5080B2"/>
      <w:sz w:val="56"/>
      <w:szCs w:val="56"/>
      <w:lang w:eastAsia="x-none"/>
    </w:rPr>
  </w:style>
  <w:style w:type="paragraph" w:customStyle="1" w:styleId="COM-BodyText-bold">
    <w:name w:val="COM-Body Text- bold"/>
    <w:basedOn w:val="Normal"/>
    <w:link w:val="COM-BodyText-boldChar"/>
    <w:locked/>
    <w:rsid w:val="00F14792"/>
    <w:pPr>
      <w:spacing w:after="240" w:line="240" w:lineRule="auto"/>
    </w:pPr>
    <w:rPr>
      <w:rFonts w:ascii="Calibri" w:eastAsia="Times New Roman" w:hAnsi="Calibri" w:cs="Times New Roman"/>
      <w:b/>
      <w:sz w:val="24"/>
      <w:szCs w:val="24"/>
      <w:lang w:val="x-none" w:eastAsia="x-none"/>
    </w:rPr>
  </w:style>
  <w:style w:type="character" w:customStyle="1" w:styleId="COM-BodyText-boldChar">
    <w:name w:val="COM-Body Text- bold Char"/>
    <w:basedOn w:val="DefaultParagraphFont"/>
    <w:link w:val="COM-BodyText-bold"/>
    <w:rsid w:val="00F14792"/>
    <w:rPr>
      <w:rFonts w:ascii="Calibri" w:eastAsia="Times New Roman" w:hAnsi="Calibri" w:cs="Times New Roman"/>
      <w:b/>
      <w:sz w:val="24"/>
      <w:szCs w:val="24"/>
      <w:lang w:val="x-none" w:eastAsia="x-none"/>
    </w:rPr>
  </w:style>
  <w:style w:type="paragraph" w:customStyle="1" w:styleId="COM-BodyText-NospaceafterPP">
    <w:name w:val="COM-BodyText-No space after PP"/>
    <w:basedOn w:val="Normal"/>
    <w:link w:val="COM-BodyText-NospaceafterPPChar"/>
    <w:autoRedefine/>
    <w:qFormat/>
    <w:rsid w:val="00F14792"/>
    <w:pPr>
      <w:tabs>
        <w:tab w:val="left" w:pos="4008"/>
        <w:tab w:val="right" w:pos="9360"/>
      </w:tabs>
      <w:spacing w:after="0" w:line="240" w:lineRule="auto"/>
      <w:jc w:val="right"/>
    </w:pPr>
    <w:rPr>
      <w:rFonts w:ascii="Calibri" w:eastAsia="Times New Roman" w:hAnsi="Calibri" w:cs="Times New Roman"/>
      <w:sz w:val="24"/>
      <w:szCs w:val="24"/>
      <w:lang w:val="x-none" w:eastAsia="x-none"/>
    </w:rPr>
  </w:style>
  <w:style w:type="character" w:customStyle="1" w:styleId="COM-BodyText-NospaceafterPPChar">
    <w:name w:val="COM-BodyText-No space after PP Char"/>
    <w:link w:val="COM-BodyText-NospaceafterPP"/>
    <w:rsid w:val="00F14792"/>
    <w:rPr>
      <w:rFonts w:ascii="Calibri" w:eastAsia="Times New Roman" w:hAnsi="Calibri" w:cs="Times New Roman"/>
      <w:sz w:val="24"/>
      <w:szCs w:val="24"/>
      <w:lang w:val="x-none" w:eastAsia="x-none"/>
    </w:rPr>
  </w:style>
  <w:style w:type="paragraph" w:customStyle="1" w:styleId="COM-Bodytext">
    <w:name w:val="COM-Body text"/>
    <w:basedOn w:val="Normal"/>
    <w:locked/>
    <w:rsid w:val="00F14792"/>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AA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95"/>
  </w:style>
  <w:style w:type="paragraph" w:styleId="Footer">
    <w:name w:val="footer"/>
    <w:basedOn w:val="Normal"/>
    <w:link w:val="FooterChar"/>
    <w:uiPriority w:val="99"/>
    <w:unhideWhenUsed/>
    <w:rsid w:val="00AA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6F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6F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6F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3D4"/>
    <w:pPr>
      <w:ind w:left="720"/>
      <w:contextualSpacing/>
    </w:pPr>
  </w:style>
  <w:style w:type="character" w:customStyle="1" w:styleId="Heading1Char">
    <w:name w:val="Heading 1 Char"/>
    <w:basedOn w:val="DefaultParagraphFont"/>
    <w:link w:val="Heading1"/>
    <w:uiPriority w:val="9"/>
    <w:rsid w:val="001C6F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C6F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C6F48"/>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1C6F48"/>
    <w:pPr>
      <w:outlineLvl w:val="9"/>
    </w:pPr>
    <w:rPr>
      <w:lang w:eastAsia="ja-JP"/>
    </w:rPr>
  </w:style>
  <w:style w:type="paragraph" w:styleId="TOC1">
    <w:name w:val="toc 1"/>
    <w:basedOn w:val="Normal"/>
    <w:next w:val="Normal"/>
    <w:autoRedefine/>
    <w:uiPriority w:val="39"/>
    <w:unhideWhenUsed/>
    <w:rsid w:val="001C6F48"/>
    <w:pPr>
      <w:spacing w:after="100"/>
    </w:pPr>
  </w:style>
  <w:style w:type="paragraph" w:styleId="TOC2">
    <w:name w:val="toc 2"/>
    <w:basedOn w:val="Normal"/>
    <w:next w:val="Normal"/>
    <w:autoRedefine/>
    <w:uiPriority w:val="39"/>
    <w:unhideWhenUsed/>
    <w:rsid w:val="001C6F48"/>
    <w:pPr>
      <w:spacing w:after="100"/>
      <w:ind w:left="220"/>
    </w:pPr>
  </w:style>
  <w:style w:type="paragraph" w:styleId="TOC3">
    <w:name w:val="toc 3"/>
    <w:basedOn w:val="Normal"/>
    <w:next w:val="Normal"/>
    <w:autoRedefine/>
    <w:uiPriority w:val="39"/>
    <w:unhideWhenUsed/>
    <w:rsid w:val="001C6F48"/>
    <w:pPr>
      <w:spacing w:after="100"/>
      <w:ind w:left="440"/>
    </w:pPr>
  </w:style>
  <w:style w:type="character" w:styleId="Hyperlink">
    <w:name w:val="Hyperlink"/>
    <w:basedOn w:val="DefaultParagraphFont"/>
    <w:uiPriority w:val="99"/>
    <w:unhideWhenUsed/>
    <w:rsid w:val="001C6F48"/>
    <w:rPr>
      <w:color w:val="0000FF" w:themeColor="hyperlink"/>
      <w:u w:val="single"/>
    </w:rPr>
  </w:style>
  <w:style w:type="paragraph" w:styleId="BalloonText">
    <w:name w:val="Balloon Text"/>
    <w:basedOn w:val="Normal"/>
    <w:link w:val="BalloonTextChar"/>
    <w:uiPriority w:val="99"/>
    <w:semiHidden/>
    <w:unhideWhenUsed/>
    <w:rsid w:val="001C6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F48"/>
    <w:rPr>
      <w:rFonts w:ascii="Tahoma" w:hAnsi="Tahoma" w:cs="Tahoma"/>
      <w:sz w:val="16"/>
      <w:szCs w:val="16"/>
    </w:rPr>
  </w:style>
  <w:style w:type="paragraph" w:styleId="FootnoteText">
    <w:name w:val="footnote text"/>
    <w:basedOn w:val="Normal"/>
    <w:link w:val="FootnoteTextChar"/>
    <w:uiPriority w:val="99"/>
    <w:semiHidden/>
    <w:unhideWhenUsed/>
    <w:rsid w:val="00A85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C0F"/>
    <w:rPr>
      <w:sz w:val="20"/>
      <w:szCs w:val="20"/>
    </w:rPr>
  </w:style>
  <w:style w:type="character" w:styleId="FootnoteReference">
    <w:name w:val="footnote reference"/>
    <w:basedOn w:val="DefaultParagraphFont"/>
    <w:uiPriority w:val="99"/>
    <w:semiHidden/>
    <w:unhideWhenUsed/>
    <w:rsid w:val="00A85C0F"/>
    <w:rPr>
      <w:vertAlign w:val="superscript"/>
    </w:rPr>
  </w:style>
  <w:style w:type="paragraph" w:customStyle="1" w:styleId="COM-ReportTitle">
    <w:name w:val="COM-Report Title"/>
    <w:basedOn w:val="Normal"/>
    <w:link w:val="COMReportTitleChar"/>
    <w:qFormat/>
    <w:locked/>
    <w:rsid w:val="00F14792"/>
    <w:pPr>
      <w:spacing w:after="240" w:line="240" w:lineRule="auto"/>
      <w:jc w:val="right"/>
    </w:pPr>
    <w:rPr>
      <w:rFonts w:ascii="Calibri" w:eastAsia="Times New Roman" w:hAnsi="Calibri" w:cs="Arial"/>
      <w:b/>
      <w:bCs/>
      <w:color w:val="5080B2"/>
      <w:sz w:val="56"/>
      <w:szCs w:val="56"/>
      <w:lang w:eastAsia="x-none"/>
    </w:rPr>
  </w:style>
  <w:style w:type="paragraph" w:customStyle="1" w:styleId="COM-ReportSub-Title">
    <w:name w:val="COM-Report Sub-Title"/>
    <w:basedOn w:val="Normal"/>
    <w:link w:val="COM-ReportSub-TitleChar"/>
    <w:qFormat/>
    <w:locked/>
    <w:rsid w:val="00F14792"/>
    <w:pPr>
      <w:tabs>
        <w:tab w:val="left" w:pos="6144"/>
      </w:tabs>
      <w:spacing w:after="0" w:line="240" w:lineRule="auto"/>
    </w:pPr>
    <w:rPr>
      <w:rFonts w:ascii="Calibri" w:eastAsia="Times New Roman" w:hAnsi="Calibri" w:cs="Times New Roman"/>
      <w:bCs/>
      <w:i/>
      <w:sz w:val="28"/>
      <w:szCs w:val="28"/>
      <w:lang w:val="x-none" w:eastAsia="x-none"/>
    </w:rPr>
  </w:style>
  <w:style w:type="character" w:customStyle="1" w:styleId="COM-ReportSub-TitleChar">
    <w:name w:val="COM-Report Sub-Title Char"/>
    <w:link w:val="COM-ReportSub-Title"/>
    <w:rsid w:val="00F14792"/>
    <w:rPr>
      <w:rFonts w:ascii="Calibri" w:eastAsia="Times New Roman" w:hAnsi="Calibri" w:cs="Times New Roman"/>
      <w:bCs/>
      <w:i/>
      <w:sz w:val="28"/>
      <w:szCs w:val="28"/>
      <w:lang w:val="x-none" w:eastAsia="x-none"/>
    </w:rPr>
  </w:style>
  <w:style w:type="character" w:customStyle="1" w:styleId="COMReportTitleChar">
    <w:name w:val="COM Report Title Char"/>
    <w:basedOn w:val="DefaultParagraphFont"/>
    <w:link w:val="COM-ReportTitle"/>
    <w:rsid w:val="00F14792"/>
    <w:rPr>
      <w:rFonts w:ascii="Calibri" w:eastAsia="Times New Roman" w:hAnsi="Calibri" w:cs="Arial"/>
      <w:b/>
      <w:bCs/>
      <w:color w:val="5080B2"/>
      <w:sz w:val="56"/>
      <w:szCs w:val="56"/>
      <w:lang w:eastAsia="x-none"/>
    </w:rPr>
  </w:style>
  <w:style w:type="paragraph" w:customStyle="1" w:styleId="COM-BodyText-bold">
    <w:name w:val="COM-Body Text- bold"/>
    <w:basedOn w:val="Normal"/>
    <w:link w:val="COM-BodyText-boldChar"/>
    <w:locked/>
    <w:rsid w:val="00F14792"/>
    <w:pPr>
      <w:spacing w:after="240" w:line="240" w:lineRule="auto"/>
    </w:pPr>
    <w:rPr>
      <w:rFonts w:ascii="Calibri" w:eastAsia="Times New Roman" w:hAnsi="Calibri" w:cs="Times New Roman"/>
      <w:b/>
      <w:sz w:val="24"/>
      <w:szCs w:val="24"/>
      <w:lang w:val="x-none" w:eastAsia="x-none"/>
    </w:rPr>
  </w:style>
  <w:style w:type="character" w:customStyle="1" w:styleId="COM-BodyText-boldChar">
    <w:name w:val="COM-Body Text- bold Char"/>
    <w:basedOn w:val="DefaultParagraphFont"/>
    <w:link w:val="COM-BodyText-bold"/>
    <w:rsid w:val="00F14792"/>
    <w:rPr>
      <w:rFonts w:ascii="Calibri" w:eastAsia="Times New Roman" w:hAnsi="Calibri" w:cs="Times New Roman"/>
      <w:b/>
      <w:sz w:val="24"/>
      <w:szCs w:val="24"/>
      <w:lang w:val="x-none" w:eastAsia="x-none"/>
    </w:rPr>
  </w:style>
  <w:style w:type="paragraph" w:customStyle="1" w:styleId="COM-BodyText-NospaceafterPP">
    <w:name w:val="COM-BodyText-No space after PP"/>
    <w:basedOn w:val="Normal"/>
    <w:link w:val="COM-BodyText-NospaceafterPPChar"/>
    <w:autoRedefine/>
    <w:qFormat/>
    <w:rsid w:val="00F14792"/>
    <w:pPr>
      <w:tabs>
        <w:tab w:val="left" w:pos="4008"/>
        <w:tab w:val="right" w:pos="9360"/>
      </w:tabs>
      <w:spacing w:after="0" w:line="240" w:lineRule="auto"/>
      <w:jc w:val="right"/>
    </w:pPr>
    <w:rPr>
      <w:rFonts w:ascii="Calibri" w:eastAsia="Times New Roman" w:hAnsi="Calibri" w:cs="Times New Roman"/>
      <w:sz w:val="24"/>
      <w:szCs w:val="24"/>
      <w:lang w:val="x-none" w:eastAsia="x-none"/>
    </w:rPr>
  </w:style>
  <w:style w:type="character" w:customStyle="1" w:styleId="COM-BodyText-NospaceafterPPChar">
    <w:name w:val="COM-BodyText-No space after PP Char"/>
    <w:link w:val="COM-BodyText-NospaceafterPP"/>
    <w:rsid w:val="00F14792"/>
    <w:rPr>
      <w:rFonts w:ascii="Calibri" w:eastAsia="Times New Roman" w:hAnsi="Calibri" w:cs="Times New Roman"/>
      <w:sz w:val="24"/>
      <w:szCs w:val="24"/>
      <w:lang w:val="x-none" w:eastAsia="x-none"/>
    </w:rPr>
  </w:style>
  <w:style w:type="paragraph" w:customStyle="1" w:styleId="COM-Bodytext">
    <w:name w:val="COM-Body text"/>
    <w:basedOn w:val="Normal"/>
    <w:locked/>
    <w:rsid w:val="00F14792"/>
    <w:pPr>
      <w:spacing w:after="0" w:line="240" w:lineRule="auto"/>
    </w:pPr>
    <w:rPr>
      <w:rFonts w:ascii="Calibri" w:eastAsia="Times New Roman" w:hAnsi="Calibri" w:cs="Times New Roman"/>
      <w:sz w:val="24"/>
      <w:szCs w:val="24"/>
    </w:rPr>
  </w:style>
  <w:style w:type="paragraph" w:styleId="Header">
    <w:name w:val="header"/>
    <w:basedOn w:val="Normal"/>
    <w:link w:val="HeaderChar"/>
    <w:uiPriority w:val="99"/>
    <w:unhideWhenUsed/>
    <w:rsid w:val="00AA1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95"/>
  </w:style>
  <w:style w:type="paragraph" w:styleId="Footer">
    <w:name w:val="footer"/>
    <w:basedOn w:val="Normal"/>
    <w:link w:val="FooterChar"/>
    <w:uiPriority w:val="99"/>
    <w:unhideWhenUsed/>
    <w:rsid w:val="00AA1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09537">
      <w:bodyDiv w:val="1"/>
      <w:marLeft w:val="0"/>
      <w:marRight w:val="0"/>
      <w:marTop w:val="0"/>
      <w:marBottom w:val="0"/>
      <w:divBdr>
        <w:top w:val="none" w:sz="0" w:space="0" w:color="auto"/>
        <w:left w:val="none" w:sz="0" w:space="0" w:color="auto"/>
        <w:bottom w:val="none" w:sz="0" w:space="0" w:color="auto"/>
        <w:right w:val="none" w:sz="0" w:space="0" w:color="auto"/>
      </w:divBdr>
      <w:divsChild>
        <w:div w:id="938416223">
          <w:marLeft w:val="0"/>
          <w:marRight w:val="0"/>
          <w:marTop w:val="0"/>
          <w:marBottom w:val="0"/>
          <w:divBdr>
            <w:top w:val="none" w:sz="0" w:space="0" w:color="auto"/>
            <w:left w:val="none" w:sz="0" w:space="0" w:color="auto"/>
            <w:bottom w:val="none" w:sz="0" w:space="0" w:color="auto"/>
            <w:right w:val="none" w:sz="0" w:space="0" w:color="auto"/>
          </w:divBdr>
          <w:divsChild>
            <w:div w:id="847839340">
              <w:marLeft w:val="0"/>
              <w:marRight w:val="0"/>
              <w:marTop w:val="0"/>
              <w:marBottom w:val="0"/>
              <w:divBdr>
                <w:top w:val="none" w:sz="0" w:space="0" w:color="auto"/>
                <w:left w:val="none" w:sz="0" w:space="0" w:color="auto"/>
                <w:bottom w:val="none" w:sz="0" w:space="0" w:color="auto"/>
                <w:right w:val="none" w:sz="0" w:space="0" w:color="auto"/>
              </w:divBdr>
              <w:divsChild>
                <w:div w:id="1873111999">
                  <w:marLeft w:val="0"/>
                  <w:marRight w:val="0"/>
                  <w:marTop w:val="0"/>
                  <w:marBottom w:val="0"/>
                  <w:divBdr>
                    <w:top w:val="none" w:sz="0" w:space="0" w:color="auto"/>
                    <w:left w:val="none" w:sz="0" w:space="0" w:color="auto"/>
                    <w:bottom w:val="none" w:sz="0" w:space="0" w:color="auto"/>
                    <w:right w:val="none" w:sz="0" w:space="0" w:color="auto"/>
                  </w:divBdr>
                  <w:divsChild>
                    <w:div w:id="494608669">
                      <w:marLeft w:val="0"/>
                      <w:marRight w:val="0"/>
                      <w:marTop w:val="0"/>
                      <w:marBottom w:val="0"/>
                      <w:divBdr>
                        <w:top w:val="none" w:sz="0" w:space="0" w:color="auto"/>
                        <w:left w:val="none" w:sz="0" w:space="0" w:color="auto"/>
                        <w:bottom w:val="none" w:sz="0" w:space="0" w:color="auto"/>
                        <w:right w:val="none" w:sz="0" w:space="0" w:color="auto"/>
                      </w:divBdr>
                      <w:divsChild>
                        <w:div w:id="142934981">
                          <w:marLeft w:val="2475"/>
                          <w:marRight w:val="0"/>
                          <w:marTop w:val="0"/>
                          <w:marBottom w:val="0"/>
                          <w:divBdr>
                            <w:top w:val="none" w:sz="0" w:space="0" w:color="auto"/>
                            <w:left w:val="none" w:sz="0" w:space="0" w:color="auto"/>
                            <w:bottom w:val="none" w:sz="0" w:space="0" w:color="auto"/>
                            <w:right w:val="none" w:sz="0" w:space="0" w:color="auto"/>
                          </w:divBdr>
                          <w:divsChild>
                            <w:div w:id="820193199">
                              <w:marLeft w:val="0"/>
                              <w:marRight w:val="0"/>
                              <w:marTop w:val="0"/>
                              <w:marBottom w:val="0"/>
                              <w:divBdr>
                                <w:top w:val="none" w:sz="0" w:space="0" w:color="auto"/>
                                <w:left w:val="none" w:sz="0" w:space="0" w:color="auto"/>
                                <w:bottom w:val="none" w:sz="0" w:space="0" w:color="auto"/>
                                <w:right w:val="none" w:sz="0" w:space="0" w:color="auto"/>
                              </w:divBdr>
                              <w:divsChild>
                                <w:div w:id="273050983">
                                  <w:marLeft w:val="0"/>
                                  <w:marRight w:val="0"/>
                                  <w:marTop w:val="0"/>
                                  <w:marBottom w:val="0"/>
                                  <w:divBdr>
                                    <w:top w:val="none" w:sz="0" w:space="0" w:color="auto"/>
                                    <w:left w:val="none" w:sz="0" w:space="0" w:color="auto"/>
                                    <w:bottom w:val="none" w:sz="0" w:space="0" w:color="auto"/>
                                    <w:right w:val="none" w:sz="0" w:space="0" w:color="auto"/>
                                  </w:divBdr>
                                  <w:divsChild>
                                    <w:div w:id="1046300534">
                                      <w:marLeft w:val="0"/>
                                      <w:marRight w:val="0"/>
                                      <w:marTop w:val="0"/>
                                      <w:marBottom w:val="0"/>
                                      <w:divBdr>
                                        <w:top w:val="none" w:sz="0" w:space="0" w:color="auto"/>
                                        <w:left w:val="none" w:sz="0" w:space="0" w:color="auto"/>
                                        <w:bottom w:val="none" w:sz="0" w:space="0" w:color="auto"/>
                                        <w:right w:val="none" w:sz="0" w:space="0" w:color="auto"/>
                                      </w:divBdr>
                                      <w:divsChild>
                                        <w:div w:id="1536116247">
                                          <w:marLeft w:val="0"/>
                                          <w:marRight w:val="0"/>
                                          <w:marTop w:val="0"/>
                                          <w:marBottom w:val="0"/>
                                          <w:divBdr>
                                            <w:top w:val="none" w:sz="0" w:space="0" w:color="auto"/>
                                            <w:left w:val="none" w:sz="0" w:space="0" w:color="auto"/>
                                            <w:bottom w:val="none" w:sz="0" w:space="0" w:color="auto"/>
                                            <w:right w:val="none" w:sz="0" w:space="0" w:color="auto"/>
                                          </w:divBdr>
                                        </w:div>
                                        <w:div w:id="226262044">
                                          <w:marLeft w:val="0"/>
                                          <w:marRight w:val="0"/>
                                          <w:marTop w:val="0"/>
                                          <w:marBottom w:val="0"/>
                                          <w:divBdr>
                                            <w:top w:val="none" w:sz="0" w:space="0" w:color="auto"/>
                                            <w:left w:val="none" w:sz="0" w:space="0" w:color="auto"/>
                                            <w:bottom w:val="none" w:sz="0" w:space="0" w:color="auto"/>
                                            <w:right w:val="none" w:sz="0" w:space="0" w:color="auto"/>
                                          </w:divBdr>
                                        </w:div>
                                        <w:div w:id="1642421054">
                                          <w:marLeft w:val="0"/>
                                          <w:marRight w:val="0"/>
                                          <w:marTop w:val="0"/>
                                          <w:marBottom w:val="0"/>
                                          <w:divBdr>
                                            <w:top w:val="none" w:sz="0" w:space="0" w:color="auto"/>
                                            <w:left w:val="none" w:sz="0" w:space="0" w:color="auto"/>
                                            <w:bottom w:val="none" w:sz="0" w:space="0" w:color="auto"/>
                                            <w:right w:val="none" w:sz="0" w:space="0" w:color="auto"/>
                                          </w:divBdr>
                                        </w:div>
                                        <w:div w:id="1813329511">
                                          <w:marLeft w:val="0"/>
                                          <w:marRight w:val="0"/>
                                          <w:marTop w:val="0"/>
                                          <w:marBottom w:val="0"/>
                                          <w:divBdr>
                                            <w:top w:val="none" w:sz="0" w:space="0" w:color="auto"/>
                                            <w:left w:val="none" w:sz="0" w:space="0" w:color="auto"/>
                                            <w:bottom w:val="none" w:sz="0" w:space="0" w:color="auto"/>
                                            <w:right w:val="none" w:sz="0" w:space="0" w:color="auto"/>
                                          </w:divBdr>
                                        </w:div>
                                        <w:div w:id="810638733">
                                          <w:marLeft w:val="0"/>
                                          <w:marRight w:val="0"/>
                                          <w:marTop w:val="0"/>
                                          <w:marBottom w:val="0"/>
                                          <w:divBdr>
                                            <w:top w:val="none" w:sz="0" w:space="0" w:color="auto"/>
                                            <w:left w:val="none" w:sz="0" w:space="0" w:color="auto"/>
                                            <w:bottom w:val="none" w:sz="0" w:space="0" w:color="auto"/>
                                            <w:right w:val="none" w:sz="0" w:space="0" w:color="auto"/>
                                          </w:divBdr>
                                        </w:div>
                                        <w:div w:id="391124944">
                                          <w:marLeft w:val="0"/>
                                          <w:marRight w:val="0"/>
                                          <w:marTop w:val="0"/>
                                          <w:marBottom w:val="0"/>
                                          <w:divBdr>
                                            <w:top w:val="none" w:sz="0" w:space="0" w:color="auto"/>
                                            <w:left w:val="none" w:sz="0" w:space="0" w:color="auto"/>
                                            <w:bottom w:val="none" w:sz="0" w:space="0" w:color="auto"/>
                                            <w:right w:val="none" w:sz="0" w:space="0" w:color="auto"/>
                                          </w:divBdr>
                                        </w:div>
                                        <w:div w:id="284236862">
                                          <w:marLeft w:val="0"/>
                                          <w:marRight w:val="0"/>
                                          <w:marTop w:val="0"/>
                                          <w:marBottom w:val="0"/>
                                          <w:divBdr>
                                            <w:top w:val="none" w:sz="0" w:space="0" w:color="auto"/>
                                            <w:left w:val="none" w:sz="0" w:space="0" w:color="auto"/>
                                            <w:bottom w:val="none" w:sz="0" w:space="0" w:color="auto"/>
                                            <w:right w:val="none" w:sz="0" w:space="0" w:color="auto"/>
                                          </w:divBdr>
                                        </w:div>
                                        <w:div w:id="19771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a.gov/forecasts/ae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ia.gov/forecasts/a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63979cc8-f6b2-4ee6-8bed-630b6048d169">Energy</Topic>
    <RoutingRuleDescription xmlns="http://schemas.microsoft.com/sharepoint/v3">carbon</RoutingRuleDescription>
    <Content_x0020_Type xmlns="63979cc8-f6b2-4ee6-8bed-630b6048d169">Data</Content_x0020_Type>
    <Year xmlns="63979cc8-f6b2-4ee6-8bed-630b6048d169">2015</Year>
    <PublishingStartDate xmlns="http://schemas.microsoft.com/sharepoint/v3" xsi:nil="true"/>
    <PublishingExpirationDate xmlns="http://schemas.microsoft.com/sharepoint/v3" xsi:nil="true"/>
    <BusinessUnit xmlns="63979cc8-f6b2-4ee6-8bed-630b6048d169">energy office</BusinessUnit>
    <Program xmlns="63979cc8-f6b2-4ee6-8bed-630b6048d169">Energy and Technology</Program>
    <Publish xmlns="63979cc8-f6b2-4ee6-8bed-630b6048d169">Yes</Publish>
    <d599451e10b14aceb47619c4acf6a5e3 xmlns="59db5950-9a61-4c09-b3e2-fe6d472fba04">
      <Terms xmlns="http://schemas.microsoft.com/office/infopath/2007/PartnerControls"/>
    </d599451e10b14aceb47619c4acf6a5e3>
    <TaxCatchAll xmlns="59db5950-9a61-4c09-b3e2-fe6d472fba0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7F82A00B46344287D29A2B5774955F" ma:contentTypeVersion="14" ma:contentTypeDescription="Create a new document." ma:contentTypeScope="" ma:versionID="8afabdd1d0af0fbc8dcc4484d5860c4d">
  <xsd:schema xmlns:xsd="http://www.w3.org/2001/XMLSchema" xmlns:xs="http://www.w3.org/2001/XMLSchema" xmlns:p="http://schemas.microsoft.com/office/2006/metadata/properties" xmlns:ns1="http://schemas.microsoft.com/sharepoint/v3" xmlns:ns2="63979cc8-f6b2-4ee6-8bed-630b6048d169" xmlns:ns4="59db5950-9a61-4c09-b3e2-fe6d472fba04" targetNamespace="http://schemas.microsoft.com/office/2006/metadata/properties" ma:root="true" ma:fieldsID="b3fa8eb86224fb7592c374f69bfd1391" ns1:_="" ns2:_="" ns4:_="">
    <xsd:import namespace="http://schemas.microsoft.com/sharepoint/v3"/>
    <xsd:import namespace="63979cc8-f6b2-4ee6-8bed-630b6048d169"/>
    <xsd:import namespace="59db5950-9a61-4c09-b3e2-fe6d472fba04"/>
    <xsd:element name="properties">
      <xsd:complexType>
        <xsd:sequence>
          <xsd:element name="documentManagement">
            <xsd:complexType>
              <xsd:all>
                <xsd:element ref="ns1:PublishingStartDate" minOccurs="0"/>
                <xsd:element ref="ns1:PublishingExpirationDate" minOccurs="0"/>
                <xsd:element ref="ns2:Program"/>
                <xsd:element ref="ns2:Content_x0020_Type"/>
                <xsd:element ref="ns1:RoutingRuleDescription"/>
                <xsd:element ref="ns4:d599451e10b14aceb47619c4acf6a5e3" minOccurs="0"/>
                <xsd:element ref="ns4:TaxCatchAll" minOccurs="0"/>
                <xsd:element ref="ns2:BusinessUnit" minOccurs="0"/>
                <xsd:element ref="ns2:Year" minOccurs="0"/>
                <xsd:element ref="ns2:Publish"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RoutingRuleDescription" ma:index="12" ma:displayName="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79cc8-f6b2-4ee6-8bed-630b6048d169" elementFormDefault="qualified">
    <xsd:import namespace="http://schemas.microsoft.com/office/2006/documentManagement/types"/>
    <xsd:import namespace="http://schemas.microsoft.com/office/infopath/2007/PartnerControls"/>
    <xsd:element name="Program" ma:index="10" ma:displayName="Theme" ma:format="Dropdown" ma:internalName="Program">
      <xsd:simpleType>
        <xsd:restriction base="dms:Choice">
          <xsd:enumeration value="About Commerce"/>
          <xsd:enumeration value="Business and Economic Development"/>
          <xsd:enumeration value="Community Services and Facilities"/>
          <xsd:enumeration value="Crime Victims and Public Safety"/>
          <xsd:enumeration value="Energy and Technology"/>
          <xsd:enumeration value="Foreclosure Fairness Program"/>
          <xsd:enumeration value="Growth Management"/>
          <xsd:enumeration value="Homeless Programs"/>
          <xsd:enumeration value="Housing and Homeless"/>
          <xsd:enumeration value="Infrastructure and Community Development"/>
          <xsd:enumeration value="Open Grants and Loan Applications"/>
          <xsd:enumeration value="Research Services"/>
          <xsd:enumeration value="Services and Assistance"/>
          <xsd:enumeration value="Reports and Publications"/>
        </xsd:restriction>
      </xsd:simpleType>
    </xsd:element>
    <xsd:element name="Content_x0020_Type" ma:index="11" ma:displayName="Content Type" ma:format="Dropdown" ma:internalName="Content_x0020_Type">
      <xsd:simpleType>
        <xsd:restriction base="dms:Choice">
          <xsd:enumeration value="Grant Application"/>
          <xsd:enumeration value="Loan Application"/>
          <xsd:enumeration value="Report"/>
          <xsd:enumeration value="Form"/>
          <xsd:enumeration value="Training Material"/>
          <xsd:enumeration value="Policy"/>
          <xsd:enumeration value="Presentation"/>
          <xsd:enumeration value="Award Lists"/>
          <xsd:enumeration value="Contract"/>
          <xsd:enumeration value="Project Information"/>
          <xsd:enumeration value="Data"/>
          <xsd:enumeration value="Commerce Solicitation"/>
          <xsd:enumeration value="Loan Application"/>
          <xsd:enumeration value="Public Input Process"/>
          <xsd:enumeration value="Fact Sheet"/>
          <xsd:enumeration value="Financial"/>
        </xsd:restriction>
      </xsd:simpleType>
    </xsd:element>
    <xsd:element name="BusinessUnit" ma:index="17" nillable="true" ma:displayName="Business Unit" ma:internalName="BusinessUnit">
      <xsd:simpleType>
        <xsd:restriction base="dms:Text">
          <xsd:maxLength value="55"/>
        </xsd:restriction>
      </xsd:simpleType>
    </xsd:element>
    <xsd:element name="Year" ma:index="18" nillable="true" ma:displayName="Year" ma:format="Dropdown"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restriction>
      </xsd:simpleType>
    </xsd:element>
    <xsd:element name="Publish" ma:index="19" nillable="true" ma:displayName="Publish" ma:format="RadioButtons" ma:internalName="Publish">
      <xsd:simpleType>
        <xsd:restriction base="dms:Choice">
          <xsd:enumeration value="Yes"/>
          <xsd:enumeration value="No"/>
        </xsd:restriction>
      </xsd:simpleType>
    </xsd:element>
    <xsd:element name="Topic" ma:index="20" nillable="true" ma:displayName="Topic" ma:format="Dropdown" ma:internalName="Topic">
      <xsd:simpleType>
        <xsd:restriction base="dms:Choice">
          <xsd:enumeration value="Affordable Housing"/>
          <xsd:enumeration value="Agriculture"/>
          <xsd:enumeration value="Annexation"/>
          <xsd:enumeration value="Annual Report"/>
          <xsd:enumeration value="Best Available Science"/>
          <xsd:enumeration value="Bicycling, Walking"/>
          <xsd:enumeration value="Buildable Lands"/>
          <xsd:enumeration value="Capital Facilities"/>
          <xsd:enumeration value="Capital Facilities Template"/>
          <xsd:enumeration value="Citizen Participation"/>
          <xsd:enumeration value="Clearing, Grading"/>
          <xsd:enumeration value="Coastal Erosion"/>
          <xsd:enumeration value="Comprehensive Plans"/>
          <xsd:enumeration value="Concurrency"/>
          <xsd:enumeration value="Critical Areas"/>
          <xsd:enumeration value="Development Regulations"/>
          <xsd:enumeration value="Economic Development"/>
          <xsd:enumeration value="ESA Listings"/>
          <xsd:enumeration value="ESHB 1724"/>
          <xsd:enumeration value="GMA"/>
          <xsd:enumeration value="GMA"/>
          <xsd:enumeration value="GMA RCWs"/>
          <xsd:enumeration value="Governor's Smart Communities Awards Program Brochure"/>
          <xsd:enumeration value="Growth Management 15-Year - An Overview, Brochure"/>
          <xsd:enumeration value="Growth Management 15-Year Report"/>
          <xsd:enumeration value="Growth Management Hearings Boards"/>
          <xsd:enumeration value="Growth Management Services"/>
          <xsd:enumeration value="Historic Preservation"/>
          <xsd:enumeration value="Housing"/>
          <xsd:enumeration value="Impact Fees"/>
          <xsd:enumeration value="Interagency Contacts"/>
          <xsd:enumeration value="Land Use Element"/>
          <xsd:enumeration value="Medical Marijuana"/>
          <xsd:enumeration value="Military Installation Compatibility"/>
          <xsd:enumeration value="Military Installations"/>
          <xsd:enumeration value="Minimum Guidelines"/>
          <xsd:enumeration value="Model Codes"/>
          <xsd:enumeration value="Natural Hazard Reduction"/>
          <xsd:enumeration value="Parks, Recreation, and Open Space"/>
          <xsd:enumeration value="Permits"/>
          <xsd:enumeration value="Planner's Update Bulletin"/>
          <xsd:enumeration value="Planner's Update Newsletter"/>
          <xsd:enumeration value="Population Forecasting"/>
          <xsd:enumeration value="Procedural Criteria"/>
          <xsd:enumeration value="Project Consistency"/>
          <xsd:enumeration value="Property Rights"/>
          <xsd:enumeration value="Quality of Life"/>
          <xsd:enumeration value="RCWs"/>
          <xsd:enumeration value="Resource Lands"/>
          <xsd:enumeration value="Rural"/>
          <xsd:enumeration value="Rural Lands"/>
          <xsd:enumeration value="SEPA/GMA"/>
          <xsd:enumeration value="Shoreline Management"/>
          <xsd:enumeration value="Short Course"/>
          <xsd:enumeration value="Success Stories"/>
          <xsd:enumeration value="Transportation"/>
          <xsd:enumeration value="Update Process"/>
          <xsd:enumeration value="Update, GMA"/>
          <xsd:enumeration value="Urban"/>
          <xsd:enumeration value="Urban Growth Areas"/>
          <xsd:enumeration value="WAC"/>
          <xsd:enumeration value="Energy"/>
          <xsd:enumeration value="Energy strategy"/>
          <xsd:enumeration value="Energy policy"/>
          <xsd:enumeration value="Electric Utilities"/>
          <xsd:enumeration value="Building Codes"/>
          <xsd:enumeration value="Appliances"/>
          <xsd:enumeration value="SEP Grants and Loans"/>
          <xsd:enumeration value="Bioenergy"/>
          <xsd:enumeration value="Petroleum and Natural Gas"/>
          <xsd:enumeration value="Renewable Resources"/>
          <xsd:enumeration value="Transportation"/>
          <xsd:enumeration value="Energy Emergencies"/>
          <xsd:enumeration value="Energy Data"/>
          <xsd:enumeration value="60 day notice"/>
          <xsd:enumeration value="Appellate Decisions"/>
          <xsd:enumeration value="Biodiversity"/>
          <xsd:enumeration value="Checklist"/>
          <xsd:enumeration value="Citizen Participation"/>
          <xsd:enumeration value="Climate Change"/>
          <xsd:enumeration value="Energy"/>
          <xsd:enumeration value="Energy Aware"/>
          <xsd:enumeration value="Evergreen Communities"/>
          <xsd:enumeration value="GMA Effectiveness"/>
          <xsd:enumeration value="GMA Publications"/>
          <xsd:enumeration value="GMA RCW Update"/>
          <xsd:enumeration value="GMA Update Map"/>
          <xsd:enumeration value="Land Use Study Commission"/>
          <xsd:enumeration value="Mineral Lands"/>
          <xsd:enumeration value="Multi-Unit Tax Exemption"/>
          <xsd:enumeration value="Multi-Unit Tax Form"/>
          <xsd:enumeration value="NSP"/>
          <xsd:enumeration value="Planner Forums"/>
          <xsd:enumeration value="Property Rights"/>
          <xsd:enumeration value="Guidebook"/>
          <xsd:enumeration value="Parks and Open Space"/>
          <xsd:enumeration value="Periodic Update"/>
          <xsd:enumeration value="GMA Update (update process)"/>
          <xsd:enumeration value="Permitting"/>
          <xsd:enumeration value="Planners Update Newsletter"/>
          <xsd:enumeration value="Regulatory Reform"/>
          <xsd:enumeration value="School Planning"/>
          <xsd:enumeration value="Rural Lands"/>
          <xsd:enumeration value="SEPA"/>
          <xsd:enumeration value="SEPA/GMA"/>
          <xsd:enumeration value="Smart Growth"/>
          <xsd:enumeration value="TDR"/>
          <xsd:enumeration value="UGA"/>
          <xsd:enumeration value="Update"/>
          <xsd:enumeration value="Update Schedule Map"/>
          <xsd:enumeration value="Urban Growth Areas"/>
        </xsd:restriction>
      </xsd:simpleType>
    </xsd:element>
  </xsd:schema>
  <xsd:schema xmlns:xsd="http://www.w3.org/2001/XMLSchema" xmlns:xs="http://www.w3.org/2001/XMLSchema" xmlns:dms="http://schemas.microsoft.com/office/2006/documentManagement/types" xmlns:pc="http://schemas.microsoft.com/office/infopath/2007/PartnerControls" targetNamespace="59db5950-9a61-4c09-b3e2-fe6d472fba04" elementFormDefault="qualified">
    <xsd:import namespace="http://schemas.microsoft.com/office/2006/documentManagement/types"/>
    <xsd:import namespace="http://schemas.microsoft.com/office/infopath/2007/PartnerControls"/>
    <xsd:element name="d599451e10b14aceb47619c4acf6a5e3" ma:index="15" nillable="true" ma:taxonomy="true" ma:internalName="d599451e10b14aceb47619c4acf6a5e3" ma:taxonomyFieldName="Tags" ma:displayName="Tags" ma:default="" ma:fieldId="{d599451e-10b1-4ace-b476-19c4acf6a5e3}" ma:taxonomyMulti="true" ma:sspId="bf6a826f-2cab-45dc-9ffe-fa5cab908faa" ma:termSetId="1ce3ecf8-e5ae-413d-890c-de5413657a2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e2a0ba3-27c4-4c52-bac5-ed8a80cb3154}" ma:internalName="TaxCatchAll" ma:showField="CatchAllData" ma:web="f1b28214-705e-401b-a148-fb4a5edf28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824DF-E1DE-4C4D-B225-78F078C31A41}">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www.w3.org/XML/1998/namespace"/>
    <ds:schemaRef ds:uri="63979cc8-f6b2-4ee6-8bed-630b6048d169"/>
    <ds:schemaRef ds:uri="http://schemas.microsoft.com/office/2006/metadata/properties"/>
    <ds:schemaRef ds:uri="http://schemas.microsoft.com/sharepoint/v3"/>
    <ds:schemaRef ds:uri="59db5950-9a61-4c09-b3e2-fe6d472fba04"/>
    <ds:schemaRef ds:uri="http://purl.org/dc/dcmitype/"/>
    <ds:schemaRef ds:uri="http://purl.org/dc/terms/"/>
  </ds:schemaRefs>
</ds:datastoreItem>
</file>

<file path=customXml/itemProps2.xml><?xml version="1.0" encoding="utf-8"?>
<ds:datastoreItem xmlns:ds="http://schemas.openxmlformats.org/officeDocument/2006/customXml" ds:itemID="{556A0326-4B26-426F-A73F-4BD19401D368}">
  <ds:schemaRefs>
    <ds:schemaRef ds:uri="http://schemas.microsoft.com/sharepoint/v3/contenttype/forms"/>
  </ds:schemaRefs>
</ds:datastoreItem>
</file>

<file path=customXml/itemProps3.xml><?xml version="1.0" encoding="utf-8"?>
<ds:datastoreItem xmlns:ds="http://schemas.openxmlformats.org/officeDocument/2006/customXml" ds:itemID="{D57E98A1-8D11-4EE8-9CE3-3A0B2AF12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979cc8-f6b2-4ee6-8bed-630b6048d169"/>
    <ds:schemaRef ds:uri="59db5950-9a61-4c09-b3e2-fe6d472fba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0CF64-E7EB-4CC0-9BFD-2ACDE042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3141</Words>
  <Characters>17904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Carbon Tax Assessment Model Users Manual</vt:lpstr>
    </vt:vector>
  </TitlesOfParts>
  <Company>Washington State Department of Commerce</Company>
  <LinksUpToDate>false</LinksUpToDate>
  <CharactersWithSpaces>21003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Tax Assessment Model Users Manual</dc:title>
  <dc:creator>Sharp, Carolee (COM)</dc:creator>
  <cp:lastModifiedBy>Bernthal, Tim (COM)</cp:lastModifiedBy>
  <cp:revision>2</cp:revision>
  <dcterms:created xsi:type="dcterms:W3CDTF">2016-05-06T16:20:00Z</dcterms:created>
  <dcterms:modified xsi:type="dcterms:W3CDTF">2016-05-06T16:20:00Z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0x010100B37F82A00B46344287D29A2B5774955F</vt:lpwstr>
  </property>
  <property fmtid="{D5CDD505-2E9C-101B-9397-08002B2CF9AE}" pid="3" name="Tags">
    <vt:lpwstr/>
  </property>
  <property fmtid="{D5CDD505-2E9C-101B-9397-08002B2CF9AE}" pid="4" name="TemplateUrl">
    <vt:lpwstr/>
  </property>
  <property fmtid="{D5CDD505-2E9C-101B-9397-08002B2CF9AE}" pid="5" name="Order">
    <vt:r8>488300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