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38" w:rsidRDefault="00D64D38">
      <w:pPr>
        <w:rPr>
          <w:b/>
          <w:smallCaps/>
        </w:rPr>
      </w:pPr>
    </w:p>
    <w:p w:rsidR="00203E37" w:rsidRPr="0062618C" w:rsidRDefault="005C575E">
      <w:pPr>
        <w:rPr>
          <w:b/>
          <w:smallCaps/>
        </w:rPr>
      </w:pPr>
      <w:r w:rsidRPr="0062618C">
        <w:rPr>
          <w:b/>
          <w:smallCaps/>
        </w:rPr>
        <w:t xml:space="preserve">What is </w:t>
      </w:r>
      <w:r w:rsidR="005224FF" w:rsidRPr="0062618C">
        <w:rPr>
          <w:b/>
          <w:smallCaps/>
        </w:rPr>
        <w:t>Human trafficking?</w:t>
      </w:r>
    </w:p>
    <w:p w:rsidR="005224FF" w:rsidRDefault="00676CC2" w:rsidP="00AB3E98">
      <w:pPr>
        <w:ind w:left="720"/>
      </w:pPr>
      <w:r>
        <w:t xml:space="preserve">Human trafficking </w:t>
      </w:r>
      <w:r w:rsidR="00AB3E98">
        <w:t>occurs when a person uses vi</w:t>
      </w:r>
      <w:r w:rsidR="00EF71F5">
        <w:t>olence, deception, or threats of force to</w:t>
      </w:r>
      <w:r w:rsidR="00AB3E98">
        <w:t xml:space="preserve"> coerce another person to provide labor or commercial sex, and to prevent that person from leaving the situation. </w:t>
      </w:r>
      <w:r w:rsidR="008548F2">
        <w:t xml:space="preserve">Human trafficking also occurs when a person recruits, harbors, transports, provides or obtains another person knowing that force, fraud or coercion will be used to exploit the other person for labor or commercial sex. </w:t>
      </w:r>
      <w:r w:rsidR="00AB3E98">
        <w:t>Trafficking is ongoing exploitation. Travel is not always involved.</w:t>
      </w:r>
      <w:r w:rsidR="004822B4">
        <w:t xml:space="preserve"> </w:t>
      </w:r>
      <w:r w:rsidRPr="00676CC2">
        <w:rPr>
          <w:b/>
        </w:rPr>
        <w:t>Victims in the U.S. are entitled to protection and assistance, regardless of their immigration status.</w:t>
      </w:r>
    </w:p>
    <w:p w:rsidR="00AB3E98" w:rsidRDefault="00AB3E98" w:rsidP="00AB3E98">
      <w:pPr>
        <w:ind w:left="720"/>
      </w:pPr>
    </w:p>
    <w:p w:rsidR="00AB3E98" w:rsidRPr="0062618C" w:rsidRDefault="00AB3E98" w:rsidP="008548F2">
      <w:pPr>
        <w:ind w:firstLine="720"/>
        <w:rPr>
          <w:b/>
          <w:smallCaps/>
        </w:rPr>
      </w:pPr>
      <w:r w:rsidRPr="0062618C">
        <w:rPr>
          <w:b/>
          <w:smallCaps/>
        </w:rPr>
        <w:t>What is Labor Trafficking?</w:t>
      </w:r>
    </w:p>
    <w:p w:rsidR="00AB3E98" w:rsidRDefault="00AB3E98" w:rsidP="008548F2">
      <w:pPr>
        <w:ind w:left="1440"/>
      </w:pPr>
      <w:r>
        <w:t>Labor trafficking is using force, fraud or coercion to recruit, harbor, transport, provide, or obtain a person for labor or services in involuntary servitude, peonage, debt bondage or slavery.</w:t>
      </w:r>
    </w:p>
    <w:p w:rsidR="00AB3E98" w:rsidRDefault="00AB3E98" w:rsidP="00AB3E98">
      <w:pPr>
        <w:ind w:left="720"/>
      </w:pPr>
    </w:p>
    <w:p w:rsidR="00AB3E98" w:rsidRPr="0062618C" w:rsidRDefault="00AB3E98" w:rsidP="008548F2">
      <w:pPr>
        <w:ind w:firstLine="720"/>
        <w:rPr>
          <w:b/>
          <w:smallCaps/>
        </w:rPr>
      </w:pPr>
      <w:r w:rsidRPr="0062618C">
        <w:rPr>
          <w:b/>
          <w:smallCaps/>
        </w:rPr>
        <w:t>What is Sex Trafficking?</w:t>
      </w:r>
    </w:p>
    <w:p w:rsidR="00036530" w:rsidRDefault="00AB3E98" w:rsidP="008548F2">
      <w:pPr>
        <w:ind w:left="1440"/>
      </w:pPr>
      <w:r>
        <w:t>Sex trafficking is a commercial sex act induced by force, fraud, or coercion, or in which the person induced to perform such act is under the age of 18.</w:t>
      </w:r>
    </w:p>
    <w:p w:rsidR="00203E37" w:rsidRPr="007F5E0D" w:rsidRDefault="00203E37">
      <w:pPr>
        <w:rPr>
          <w:sz w:val="22"/>
        </w:rPr>
      </w:pPr>
    </w:p>
    <w:p w:rsidR="009C1EA0" w:rsidRPr="0062618C" w:rsidRDefault="005166DC" w:rsidP="009C1EA0">
      <w:pPr>
        <w:rPr>
          <w:b/>
          <w:smallCaps/>
        </w:rPr>
      </w:pPr>
      <w:r w:rsidRPr="0062618C">
        <w:rPr>
          <w:b/>
          <w:smallCaps/>
        </w:rPr>
        <w:t>Signs of Human Trafficking</w:t>
      </w:r>
    </w:p>
    <w:p w:rsidR="006D26CA" w:rsidRPr="009C1EA0" w:rsidRDefault="00EF71F5" w:rsidP="009C1EA0">
      <w:pPr>
        <w:ind w:left="720"/>
        <w:rPr>
          <w:b/>
          <w:smallCaps/>
          <w:sz w:val="28"/>
          <w:szCs w:val="28"/>
        </w:rPr>
      </w:pPr>
      <w:r>
        <w:t>Human trafficking occurs</w:t>
      </w:r>
      <w:r w:rsidR="005166DC">
        <w:t xml:space="preserve"> in many industries: agriculture, construction, domestic service (housekeeper, nanny), restaurants, salons, prostitution, massage parlor</w:t>
      </w:r>
      <w:r w:rsidR="003641C1">
        <w:t>s and various other businesses</w:t>
      </w:r>
      <w:r w:rsidR="005166DC">
        <w:t>.</w:t>
      </w:r>
      <w:r w:rsidR="009E3D01">
        <w:rPr>
          <w:rStyle w:val="FootnoteReference"/>
        </w:rPr>
        <w:footnoteReference w:id="1"/>
      </w:r>
    </w:p>
    <w:p w:rsidR="009C1EA0" w:rsidRPr="009C1EA0" w:rsidRDefault="009C1EA0" w:rsidP="006D26CA">
      <w:pPr>
        <w:rPr>
          <w:i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5004"/>
      </w:tblGrid>
      <w:tr w:rsidR="005166DC" w:rsidRPr="009C1EA0" w:rsidTr="005166DC">
        <w:tc>
          <w:tcPr>
            <w:tcW w:w="5004" w:type="dxa"/>
            <w:shd w:val="clear" w:color="auto" w:fill="D9D9D9" w:themeFill="background1" w:themeFillShade="D9"/>
            <w:vAlign w:val="center"/>
          </w:tcPr>
          <w:p w:rsidR="005166DC" w:rsidRPr="00F94CFE" w:rsidRDefault="005166DC" w:rsidP="006F40E8">
            <w:pPr>
              <w:ind w:left="360" w:hanging="360"/>
              <w:jc w:val="center"/>
              <w:rPr>
                <w:rFonts w:eastAsia="Calibri"/>
                <w:i/>
                <w:sz w:val="22"/>
                <w:szCs w:val="22"/>
                <w:highlight w:val="yellow"/>
              </w:rPr>
            </w:pPr>
            <w:r w:rsidRPr="00F94CFE">
              <w:rPr>
                <w:rFonts w:eastAsia="Calibri"/>
                <w:i/>
                <w:sz w:val="22"/>
                <w:szCs w:val="22"/>
              </w:rPr>
              <w:t>Signs of Human Trafficking</w:t>
            </w:r>
          </w:p>
        </w:tc>
        <w:tc>
          <w:tcPr>
            <w:tcW w:w="5004" w:type="dxa"/>
            <w:shd w:val="clear" w:color="auto" w:fill="D9D9D9" w:themeFill="background1" w:themeFillShade="D9"/>
            <w:vAlign w:val="center"/>
          </w:tcPr>
          <w:p w:rsidR="001E458E" w:rsidRPr="001E458E" w:rsidRDefault="001E458E" w:rsidP="001E458E">
            <w:pPr>
              <w:ind w:left="360" w:hanging="360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Identifying Victims of Human Trafficking</w:t>
            </w:r>
          </w:p>
        </w:tc>
      </w:tr>
      <w:tr w:rsidR="005166DC" w:rsidRPr="009C1EA0" w:rsidTr="005166DC">
        <w:tc>
          <w:tcPr>
            <w:tcW w:w="5004" w:type="dxa"/>
          </w:tcPr>
          <w:p w:rsidR="005166DC" w:rsidRPr="009E3D01" w:rsidRDefault="005166DC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Abusive employment situation</w:t>
            </w:r>
          </w:p>
          <w:p w:rsidR="005166DC" w:rsidRPr="009E3D01" w:rsidRDefault="005166DC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One person controlling another or a group (speaking for them; escorting them to/from work)</w:t>
            </w:r>
          </w:p>
          <w:p w:rsidR="005166DC" w:rsidRPr="009E3D01" w:rsidRDefault="005166DC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Employer in control of employee’s identification/immigration documents</w:t>
            </w:r>
          </w:p>
          <w:p w:rsidR="005166DC" w:rsidRPr="009E3D01" w:rsidRDefault="005166DC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People locked inside a residence or workplace</w:t>
            </w:r>
          </w:p>
          <w:p w:rsidR="005166DC" w:rsidRPr="009E3D01" w:rsidRDefault="005166DC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Someone unable to leave a particular job (forced to work there)</w:t>
            </w:r>
          </w:p>
          <w:p w:rsidR="005166DC" w:rsidRPr="009E3D01" w:rsidRDefault="005166DC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Threats to employee or employee’s family by employer</w:t>
            </w:r>
          </w:p>
          <w:p w:rsidR="005166DC" w:rsidRPr="009E3D01" w:rsidRDefault="005166DC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“Debt” owed by employee to employer</w:t>
            </w:r>
          </w:p>
          <w:p w:rsidR="005166DC" w:rsidRPr="009E3D01" w:rsidRDefault="005166DC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Employee living in employer-owned or controlled residence</w:t>
            </w:r>
          </w:p>
        </w:tc>
        <w:tc>
          <w:tcPr>
            <w:tcW w:w="5004" w:type="dxa"/>
          </w:tcPr>
          <w:p w:rsidR="00090C38" w:rsidRPr="009E3D01" w:rsidRDefault="00E957E5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Individual </w:t>
            </w:r>
            <w:r w:rsidR="003641C1">
              <w:rPr>
                <w:rFonts w:eastAsia="Calibri"/>
                <w:sz w:val="22"/>
                <w:szCs w:val="22"/>
              </w:rPr>
              <w:t>has no power in</w:t>
            </w:r>
            <w:r w:rsidR="001E458E" w:rsidRPr="009E3D01">
              <w:rPr>
                <w:rFonts w:eastAsia="Calibri"/>
                <w:sz w:val="22"/>
                <w:szCs w:val="22"/>
              </w:rPr>
              <w:t xml:space="preserve"> making </w:t>
            </w:r>
            <w:r w:rsidR="00B04406">
              <w:rPr>
                <w:rFonts w:eastAsia="Calibri"/>
                <w:sz w:val="22"/>
                <w:szCs w:val="22"/>
              </w:rPr>
              <w:t xml:space="preserve">their </w:t>
            </w:r>
            <w:r>
              <w:rPr>
                <w:rFonts w:eastAsia="Calibri"/>
                <w:sz w:val="22"/>
                <w:szCs w:val="22"/>
              </w:rPr>
              <w:t>own decisions, limited or no</w:t>
            </w:r>
            <w:r w:rsidR="001E458E" w:rsidRPr="009E3D01">
              <w:rPr>
                <w:rFonts w:eastAsia="Calibri"/>
                <w:sz w:val="22"/>
                <w:szCs w:val="22"/>
              </w:rPr>
              <w:t xml:space="preserve"> independence</w:t>
            </w:r>
          </w:p>
          <w:p w:rsidR="009E3D01" w:rsidRPr="009E3D01" w:rsidRDefault="009E3D01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 xml:space="preserve">Individual’s access to friends, family, public </w:t>
            </w:r>
            <w:r w:rsidR="00EF71F5">
              <w:rPr>
                <w:rFonts w:eastAsia="Calibri"/>
                <w:sz w:val="22"/>
                <w:szCs w:val="22"/>
              </w:rPr>
              <w:t xml:space="preserve">is </w:t>
            </w:r>
            <w:r w:rsidRPr="009E3D01">
              <w:rPr>
                <w:rFonts w:eastAsia="Calibri"/>
                <w:sz w:val="22"/>
                <w:szCs w:val="22"/>
              </w:rPr>
              <w:t>limited or cut off</w:t>
            </w:r>
          </w:p>
          <w:p w:rsidR="001E458E" w:rsidRPr="009E3D01" w:rsidRDefault="009E3D01" w:rsidP="005166DC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Victim</w:t>
            </w:r>
            <w:r w:rsidR="001E458E" w:rsidRPr="009E3D01">
              <w:rPr>
                <w:rFonts w:eastAsia="Calibri"/>
                <w:sz w:val="22"/>
                <w:szCs w:val="22"/>
              </w:rPr>
              <w:t xml:space="preserve"> ma</w:t>
            </w:r>
            <w:r w:rsidR="008548F2">
              <w:rPr>
                <w:rFonts w:eastAsia="Calibri"/>
                <w:sz w:val="22"/>
                <w:szCs w:val="22"/>
              </w:rPr>
              <w:t xml:space="preserve">y appear to be very fearful </w:t>
            </w:r>
          </w:p>
          <w:p w:rsidR="001E458E" w:rsidRPr="009E3D01" w:rsidRDefault="009C06D2" w:rsidP="009C06D2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Victim</w:t>
            </w:r>
            <w:r w:rsidR="001E458E" w:rsidRPr="009E3D01">
              <w:rPr>
                <w:rFonts w:eastAsia="Calibri"/>
                <w:sz w:val="22"/>
                <w:szCs w:val="22"/>
              </w:rPr>
              <w:t xml:space="preserve"> may </w:t>
            </w:r>
            <w:r w:rsidRPr="009E3D01">
              <w:rPr>
                <w:rFonts w:eastAsia="Calibri"/>
                <w:sz w:val="22"/>
                <w:szCs w:val="22"/>
              </w:rPr>
              <w:t>seek services or be referred to services</w:t>
            </w:r>
            <w:r w:rsidR="009E3D01" w:rsidRPr="009E3D01">
              <w:rPr>
                <w:rFonts w:eastAsia="Calibri"/>
                <w:sz w:val="22"/>
                <w:szCs w:val="22"/>
              </w:rPr>
              <w:t xml:space="preserve"> for seemingly unrelated issue. </w:t>
            </w:r>
            <w:r w:rsidR="009E3D01" w:rsidRPr="00EF71F5">
              <w:rPr>
                <w:rFonts w:eastAsia="Calibri"/>
                <w:i/>
                <w:sz w:val="22"/>
                <w:szCs w:val="22"/>
              </w:rPr>
              <w:t>Events, details, symptoms and information don’t connect or seem to be disguising other issues or concerns</w:t>
            </w:r>
          </w:p>
          <w:p w:rsidR="009C06D2" w:rsidRPr="009E3D01" w:rsidRDefault="009C06D2" w:rsidP="009C06D2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9E3D01">
              <w:rPr>
                <w:rFonts w:eastAsia="Calibri"/>
                <w:sz w:val="22"/>
                <w:szCs w:val="22"/>
              </w:rPr>
              <w:t>Individual working very long hours for little to no pay</w:t>
            </w:r>
          </w:p>
        </w:tc>
      </w:tr>
    </w:tbl>
    <w:p w:rsidR="00036530" w:rsidRPr="00676CC2" w:rsidRDefault="00036530" w:rsidP="008212B9">
      <w:pPr>
        <w:rPr>
          <w:b/>
          <w:sz w:val="22"/>
          <w:szCs w:val="22"/>
        </w:rPr>
      </w:pPr>
    </w:p>
    <w:p w:rsidR="00676CC2" w:rsidRDefault="00676CC2" w:rsidP="00036530">
      <w:pPr>
        <w:rPr>
          <w:b/>
          <w:smallCaps/>
          <w:sz w:val="28"/>
          <w:szCs w:val="28"/>
        </w:rPr>
      </w:pPr>
    </w:p>
    <w:p w:rsidR="00036530" w:rsidRPr="008548F2" w:rsidRDefault="00036530" w:rsidP="00036530">
      <w:pPr>
        <w:rPr>
          <w:b/>
          <w:smallCaps/>
        </w:rPr>
      </w:pPr>
      <w:r w:rsidRPr="008548F2">
        <w:rPr>
          <w:b/>
          <w:smallCaps/>
        </w:rPr>
        <w:t>Traffickers</w:t>
      </w:r>
    </w:p>
    <w:p w:rsidR="00036530" w:rsidRPr="00036530" w:rsidRDefault="00036530" w:rsidP="00036530">
      <w:pPr>
        <w:pStyle w:val="ListParagraph"/>
        <w:numPr>
          <w:ilvl w:val="0"/>
          <w:numId w:val="14"/>
        </w:numPr>
        <w:rPr>
          <w:b/>
          <w:smallCaps/>
          <w:sz w:val="28"/>
          <w:szCs w:val="28"/>
        </w:rPr>
      </w:pPr>
      <w:r>
        <w:t>Hide or disguise their actions and victims to avoid detection</w:t>
      </w:r>
    </w:p>
    <w:p w:rsidR="00036530" w:rsidRPr="00036530" w:rsidRDefault="00036530" w:rsidP="00036530">
      <w:pPr>
        <w:pStyle w:val="ListParagraph"/>
        <w:numPr>
          <w:ilvl w:val="0"/>
          <w:numId w:val="14"/>
        </w:numPr>
        <w:rPr>
          <w:b/>
          <w:smallCaps/>
          <w:sz w:val="28"/>
          <w:szCs w:val="28"/>
        </w:rPr>
      </w:pPr>
      <w:r>
        <w:t xml:space="preserve">Often coach victims on how </w:t>
      </w:r>
      <w:r w:rsidR="008548F2">
        <w:t xml:space="preserve">to </w:t>
      </w:r>
      <w:r>
        <w:t>answer questions to “cover</w:t>
      </w:r>
      <w:r w:rsidR="00EF71F5">
        <w:t xml:space="preserve"> up</w:t>
      </w:r>
      <w:r>
        <w:t>” what is happening</w:t>
      </w:r>
    </w:p>
    <w:p w:rsidR="00D64D38" w:rsidRPr="003C6090" w:rsidRDefault="00036530" w:rsidP="00036530">
      <w:pPr>
        <w:pStyle w:val="ListParagraph"/>
        <w:numPr>
          <w:ilvl w:val="1"/>
          <w:numId w:val="14"/>
        </w:numPr>
        <w:rPr>
          <w:b/>
          <w:smallCaps/>
          <w:sz w:val="28"/>
          <w:szCs w:val="28"/>
        </w:rPr>
      </w:pPr>
      <w:r>
        <w:t>Out of fear victims will use a “cover story” to describe how they are a wife, student, tourist, employee or willing/consenting partner of the trafficker</w:t>
      </w:r>
    </w:p>
    <w:p w:rsidR="00D64D38" w:rsidRDefault="00D64D38" w:rsidP="00036530">
      <w:pPr>
        <w:rPr>
          <w:b/>
          <w:smallCaps/>
        </w:rPr>
      </w:pPr>
    </w:p>
    <w:p w:rsidR="00036530" w:rsidRPr="008548F2" w:rsidRDefault="00036530" w:rsidP="00036530">
      <w:pPr>
        <w:rPr>
          <w:b/>
          <w:smallCaps/>
        </w:rPr>
      </w:pPr>
      <w:r w:rsidRPr="008548F2">
        <w:rPr>
          <w:b/>
          <w:smallCaps/>
        </w:rPr>
        <w:t>Means of Control Used by Traffickers</w:t>
      </w:r>
    </w:p>
    <w:p w:rsidR="00036530" w:rsidRDefault="00036530" w:rsidP="00B04406">
      <w:pPr>
        <w:pStyle w:val="ListParagraph"/>
        <w:numPr>
          <w:ilvl w:val="0"/>
          <w:numId w:val="15"/>
        </w:numPr>
      </w:pPr>
      <w:r w:rsidRPr="00B04406">
        <w:rPr>
          <w:b/>
        </w:rPr>
        <w:t xml:space="preserve">Force: </w:t>
      </w:r>
      <w:r>
        <w:t>Physical assault (beating, burning, slapping, hitting assault with object or weapon, etc.), physical confinement and isolation, rape and other forms of sexual violence and/or domestic violence.</w:t>
      </w:r>
    </w:p>
    <w:p w:rsidR="00036530" w:rsidRPr="00F94CFE" w:rsidRDefault="00036530" w:rsidP="00DB2F82">
      <w:pPr>
        <w:pStyle w:val="ListParagraph"/>
        <w:numPr>
          <w:ilvl w:val="0"/>
          <w:numId w:val="15"/>
        </w:numPr>
      </w:pPr>
      <w:r w:rsidRPr="00DB2F82">
        <w:rPr>
          <w:b/>
        </w:rPr>
        <w:t>Fraud:</w:t>
      </w:r>
      <w:r>
        <w:t xml:space="preserve"> False or deceptive offers of employment, marriage, or a better life, lying about work conditions, false promises, withholding wages.</w:t>
      </w:r>
    </w:p>
    <w:p w:rsidR="00036530" w:rsidRDefault="00036530" w:rsidP="00B04406">
      <w:pPr>
        <w:pStyle w:val="ListParagraph"/>
        <w:numPr>
          <w:ilvl w:val="0"/>
          <w:numId w:val="15"/>
        </w:numPr>
      </w:pPr>
      <w:r w:rsidRPr="00B04406">
        <w:rPr>
          <w:b/>
        </w:rPr>
        <w:t xml:space="preserve">Coercion: </w:t>
      </w:r>
      <w:r>
        <w:t>Threats to life, safety, family members, or other loved ones. Threats to have a victim or a victim’s family member arrested or deported. Debt bondage: Use of manipulation of debt to create never-ending debt. Withholding legal documents such as identification. Psychological abuse.</w:t>
      </w:r>
    </w:p>
    <w:p w:rsidR="00036530" w:rsidRDefault="00036530" w:rsidP="00090C38">
      <w:pPr>
        <w:rPr>
          <w:b/>
          <w:sz w:val="22"/>
          <w:szCs w:val="22"/>
        </w:rPr>
      </w:pPr>
    </w:p>
    <w:p w:rsidR="00090C38" w:rsidRPr="009C1EA0" w:rsidRDefault="00090C38" w:rsidP="00090C38">
      <w:pPr>
        <w:rPr>
          <w:sz w:val="22"/>
          <w:szCs w:val="22"/>
        </w:rPr>
      </w:pPr>
    </w:p>
    <w:p w:rsidR="004608ED" w:rsidRPr="008548F2" w:rsidRDefault="004608ED" w:rsidP="004608ED">
      <w:pPr>
        <w:rPr>
          <w:b/>
          <w:smallCaps/>
        </w:rPr>
      </w:pPr>
      <w:r w:rsidRPr="008548F2">
        <w:rPr>
          <w:b/>
          <w:smallCaps/>
        </w:rPr>
        <w:t>Services Available</w:t>
      </w:r>
      <w:r w:rsidR="003641C1" w:rsidRPr="008548F2">
        <w:rPr>
          <w:b/>
          <w:smallCaps/>
        </w:rPr>
        <w:t xml:space="preserve"> to Victims of Human Trafficking</w:t>
      </w:r>
    </w:p>
    <w:p w:rsidR="00E639F0" w:rsidRDefault="00C94207" w:rsidP="00082E05">
      <w:r>
        <w:t>T</w:t>
      </w:r>
      <w:r w:rsidR="009F59DE" w:rsidRPr="009C1EA0">
        <w:t>he following is a list of services and resources available in Washington.</w:t>
      </w:r>
      <w:r w:rsidR="00B851A4" w:rsidRPr="009C1EA0">
        <w:t xml:space="preserve">  </w:t>
      </w:r>
      <w:r w:rsidR="00E639F0" w:rsidRPr="009C1EA0">
        <w:t>Services are available</w:t>
      </w:r>
      <w:r>
        <w:t xml:space="preserve"> to victims of </w:t>
      </w:r>
      <w:r w:rsidR="003641C1">
        <w:t>human trafficking</w:t>
      </w:r>
      <w:r w:rsidR="00BF4DDD">
        <w:t>, their friends, families and community members</w:t>
      </w:r>
      <w:r w:rsidR="00E639F0" w:rsidRPr="009C1EA0">
        <w:t xml:space="preserve"> by contacting</w:t>
      </w:r>
      <w:r w:rsidR="00337932" w:rsidRPr="009C1EA0">
        <w:t xml:space="preserve"> the Crime Victim Service Center</w:t>
      </w:r>
      <w:r w:rsidR="00E957E5">
        <w:t xml:space="preserve"> (CVSC)</w:t>
      </w:r>
      <w:r>
        <w:t xml:space="preserve"> or Community Sexual Assault Program</w:t>
      </w:r>
      <w:r w:rsidR="00E957E5">
        <w:t xml:space="preserve"> (CSAP)</w:t>
      </w:r>
      <w:r w:rsidR="00337932" w:rsidRPr="009C1EA0">
        <w:t xml:space="preserve"> in </w:t>
      </w:r>
      <w:r w:rsidR="009F59DE" w:rsidRPr="009C1EA0">
        <w:t>your area</w:t>
      </w:r>
      <w:r w:rsidR="00337932" w:rsidRPr="009C1EA0">
        <w:t xml:space="preserve">.  </w:t>
      </w:r>
      <w:r w:rsidR="0093544A" w:rsidRPr="0093544A">
        <w:rPr>
          <w:i/>
        </w:rPr>
        <w:t>Advocacy services are free of charge.</w:t>
      </w:r>
      <w:r w:rsidR="0093544A">
        <w:t xml:space="preserve"> </w:t>
      </w:r>
      <w:r w:rsidR="00337932" w:rsidRPr="009C1EA0">
        <w:t>Services include:</w:t>
      </w:r>
    </w:p>
    <w:p w:rsidR="002D6FF7" w:rsidRPr="009C1EA0" w:rsidRDefault="002D6FF7" w:rsidP="00082E05"/>
    <w:p w:rsidR="00C94207" w:rsidRDefault="00C94207" w:rsidP="0071101D">
      <w:pPr>
        <w:numPr>
          <w:ilvl w:val="0"/>
          <w:numId w:val="8"/>
        </w:numPr>
        <w:tabs>
          <w:tab w:val="clear" w:pos="720"/>
          <w:tab w:val="num" w:pos="1080"/>
        </w:tabs>
      </w:pPr>
      <w:r>
        <w:t>Access to a victim advocate 24 hours per day, 7 days per week,</w:t>
      </w:r>
    </w:p>
    <w:p w:rsidR="008548F2" w:rsidRPr="009C1EA0" w:rsidRDefault="00FA017F" w:rsidP="008548F2">
      <w:pPr>
        <w:numPr>
          <w:ilvl w:val="0"/>
          <w:numId w:val="8"/>
        </w:numPr>
        <w:tabs>
          <w:tab w:val="clear" w:pos="720"/>
          <w:tab w:val="num" w:pos="1080"/>
        </w:tabs>
      </w:pPr>
      <w:r>
        <w:t xml:space="preserve">Support and assistance accessing </w:t>
      </w:r>
      <w:r w:rsidR="00C94207">
        <w:t>community resources</w:t>
      </w:r>
      <w:r w:rsidR="00BF4DDD">
        <w:t xml:space="preserve"> (food, shelter, medical care)</w:t>
      </w:r>
      <w:r w:rsidR="00C94207">
        <w:t xml:space="preserve"> </w:t>
      </w:r>
    </w:p>
    <w:p w:rsidR="00082E05" w:rsidRDefault="00C94207" w:rsidP="0071101D">
      <w:pPr>
        <w:numPr>
          <w:ilvl w:val="0"/>
          <w:numId w:val="8"/>
        </w:numPr>
        <w:tabs>
          <w:tab w:val="clear" w:pos="720"/>
          <w:tab w:val="num" w:pos="1080"/>
        </w:tabs>
      </w:pPr>
      <w:r>
        <w:t>Support and assistance aimed at assisting victims in their healing and recovery</w:t>
      </w:r>
      <w:r w:rsidR="008833EC">
        <w:t>,</w:t>
      </w:r>
    </w:p>
    <w:p w:rsidR="008833EC" w:rsidRPr="009C1EA0" w:rsidRDefault="008833EC" w:rsidP="0071101D">
      <w:pPr>
        <w:numPr>
          <w:ilvl w:val="0"/>
          <w:numId w:val="8"/>
        </w:numPr>
        <w:tabs>
          <w:tab w:val="clear" w:pos="720"/>
          <w:tab w:val="num" w:pos="1080"/>
        </w:tabs>
      </w:pPr>
      <w:r>
        <w:t xml:space="preserve">Assistance with safety </w:t>
      </w:r>
      <w:r w:rsidR="00EF71F5">
        <w:t xml:space="preserve">and support </w:t>
      </w:r>
      <w:r>
        <w:t>planning,</w:t>
      </w:r>
    </w:p>
    <w:p w:rsidR="00082E05" w:rsidRPr="009C1EA0" w:rsidRDefault="00C94207" w:rsidP="0071101D">
      <w:pPr>
        <w:numPr>
          <w:ilvl w:val="0"/>
          <w:numId w:val="8"/>
        </w:numPr>
        <w:tabs>
          <w:tab w:val="clear" w:pos="720"/>
          <w:tab w:val="num" w:pos="1080"/>
        </w:tabs>
      </w:pPr>
      <w:r>
        <w:t xml:space="preserve">Assistance and support </w:t>
      </w:r>
      <w:r w:rsidR="000D6293">
        <w:t>with access</w:t>
      </w:r>
      <w:r w:rsidR="00B04406">
        <w:t>ing medical care related to human trafficking</w:t>
      </w:r>
      <w:r w:rsidR="008833EC">
        <w:t>,</w:t>
      </w:r>
    </w:p>
    <w:p w:rsidR="00CB6202" w:rsidRDefault="00EF71F5" w:rsidP="003C6090">
      <w:pPr>
        <w:numPr>
          <w:ilvl w:val="0"/>
          <w:numId w:val="8"/>
        </w:numPr>
        <w:tabs>
          <w:tab w:val="clear" w:pos="720"/>
          <w:tab w:val="num" w:pos="1080"/>
        </w:tabs>
      </w:pPr>
      <w:r>
        <w:t>Assistance with</w:t>
      </w:r>
      <w:r w:rsidR="00082E05" w:rsidRPr="009C1EA0">
        <w:t xml:space="preserve"> understanding the legal system, </w:t>
      </w:r>
      <w:r>
        <w:t xml:space="preserve">the rights of victims </w:t>
      </w:r>
      <w:r w:rsidR="00082E05" w:rsidRPr="009C1EA0">
        <w:t>as well as other government agencies and services.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28"/>
      </w:tblGrid>
      <w:tr w:rsidR="00351279" w:rsidRPr="009C1EA0" w:rsidTr="001D525E">
        <w:tc>
          <w:tcPr>
            <w:tcW w:w="10728" w:type="dxa"/>
            <w:shd w:val="clear" w:color="auto" w:fill="D9D9D9" w:themeFill="background1" w:themeFillShade="D9"/>
          </w:tcPr>
          <w:p w:rsidR="00351279" w:rsidRPr="00351279" w:rsidRDefault="00351279" w:rsidP="00351279">
            <w:pPr>
              <w:pStyle w:val="ListParagraph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51279">
              <w:rPr>
                <w:rFonts w:eastAsiaTheme="minorHAnsi"/>
                <w:b/>
                <w:sz w:val="28"/>
                <w:szCs w:val="28"/>
              </w:rPr>
              <w:t>State and National Resources</w:t>
            </w:r>
          </w:p>
        </w:tc>
      </w:tr>
      <w:tr w:rsidR="00351279" w:rsidRPr="009C1EA0" w:rsidTr="001D525E">
        <w:tc>
          <w:tcPr>
            <w:tcW w:w="10728" w:type="dxa"/>
          </w:tcPr>
          <w:p w:rsidR="00351279" w:rsidRPr="009C1EA0" w:rsidRDefault="00351279" w:rsidP="001D525E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Washington State</w:t>
            </w:r>
          </w:p>
          <w:p w:rsidR="00351279" w:rsidRPr="009C1EA0" w:rsidRDefault="00351279" w:rsidP="001D525E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The Washington Anti-Trafficking Response Network (WARN)</w:t>
            </w:r>
          </w:p>
          <w:p w:rsidR="00351279" w:rsidRPr="009C1EA0" w:rsidRDefault="00351279" w:rsidP="001D525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Victim Assistance Line:  206-245-</w:t>
            </w:r>
            <w:r w:rsidRPr="009C1EA0">
              <w:rPr>
                <w:rFonts w:eastAsiaTheme="minorHAnsi"/>
              </w:rPr>
              <w:t>0782</w:t>
            </w:r>
          </w:p>
        </w:tc>
      </w:tr>
      <w:tr w:rsidR="00351279" w:rsidRPr="009C1EA0" w:rsidTr="001D525E">
        <w:tc>
          <w:tcPr>
            <w:tcW w:w="10728" w:type="dxa"/>
          </w:tcPr>
          <w:p w:rsidR="00351279" w:rsidRPr="009C1EA0" w:rsidRDefault="00351279" w:rsidP="001D525E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Washington State</w:t>
            </w:r>
          </w:p>
          <w:p w:rsidR="00351279" w:rsidRPr="009C1EA0" w:rsidRDefault="00351279" w:rsidP="001D525E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Office of Crime Victims Advocacy</w:t>
            </w:r>
          </w:p>
          <w:p w:rsidR="00351279" w:rsidRDefault="00351279" w:rsidP="001D525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</w:rPr>
              <w:t>Hotline:  1-800-822-</w:t>
            </w:r>
            <w:r w:rsidRPr="009C1EA0">
              <w:rPr>
                <w:rFonts w:eastAsiaTheme="minorHAnsi"/>
              </w:rPr>
              <w:t xml:space="preserve">1067 </w:t>
            </w:r>
            <w:r w:rsidRPr="009C1EA0">
              <w:rPr>
                <w:rFonts w:eastAsiaTheme="minorHAnsi"/>
                <w:sz w:val="18"/>
                <w:szCs w:val="18"/>
              </w:rPr>
              <w:t>(Monday-Friday, 8am-5pm)</w:t>
            </w:r>
          </w:p>
          <w:p w:rsidR="00351279" w:rsidRPr="00BE2696" w:rsidRDefault="00351279" w:rsidP="001D525E">
            <w:pPr>
              <w:tabs>
                <w:tab w:val="center" w:pos="5256"/>
                <w:tab w:val="left" w:pos="8040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ab/>
            </w:r>
            <w:r w:rsidRPr="00BE2696">
              <w:rPr>
                <w:rFonts w:eastAsiaTheme="minorHAnsi"/>
              </w:rPr>
              <w:t>www.ocva.wa.gov</w:t>
            </w:r>
            <w:r>
              <w:rPr>
                <w:rFonts w:eastAsiaTheme="minorHAnsi"/>
              </w:rPr>
              <w:tab/>
            </w:r>
          </w:p>
        </w:tc>
      </w:tr>
      <w:tr w:rsidR="00351279" w:rsidRPr="009C1EA0" w:rsidTr="001D525E">
        <w:tc>
          <w:tcPr>
            <w:tcW w:w="10728" w:type="dxa"/>
          </w:tcPr>
          <w:p w:rsidR="00351279" w:rsidRPr="009C1EA0" w:rsidRDefault="00351279" w:rsidP="001D525E">
            <w:pPr>
              <w:jc w:val="center"/>
              <w:rPr>
                <w:rFonts w:eastAsiaTheme="minorHAnsi"/>
                <w:b/>
              </w:rPr>
            </w:pPr>
            <w:r w:rsidRPr="009C1EA0">
              <w:rPr>
                <w:rFonts w:eastAsiaTheme="minorHAnsi"/>
                <w:b/>
              </w:rPr>
              <w:t>National Human Trafficking Resource Center</w:t>
            </w:r>
          </w:p>
          <w:p w:rsidR="00351279" w:rsidRPr="009C1EA0" w:rsidRDefault="00351279" w:rsidP="001D525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24-Hour Hotline:  1-888-373-</w:t>
            </w:r>
            <w:r w:rsidRPr="009C1EA0">
              <w:rPr>
                <w:rFonts w:eastAsiaTheme="minorHAnsi"/>
              </w:rPr>
              <w:t xml:space="preserve">7888 </w:t>
            </w:r>
          </w:p>
        </w:tc>
      </w:tr>
    </w:tbl>
    <w:p w:rsidR="00351279" w:rsidRDefault="00351279" w:rsidP="00351279">
      <w:pPr>
        <w:rPr>
          <w:b/>
          <w:smallCaps/>
          <w:sz w:val="28"/>
          <w:szCs w:val="28"/>
          <w:highlight w:val="yellow"/>
        </w:rPr>
      </w:pPr>
    </w:p>
    <w:p w:rsidR="00351279" w:rsidRDefault="00351279" w:rsidP="00351279">
      <w:pPr>
        <w:rPr>
          <w:b/>
          <w:smallCaps/>
          <w:sz w:val="28"/>
          <w:szCs w:val="28"/>
          <w:highlight w:val="yellow"/>
        </w:rPr>
      </w:pPr>
    </w:p>
    <w:p w:rsidR="00351279" w:rsidRDefault="00351279" w:rsidP="00351279">
      <w:pPr>
        <w:rPr>
          <w:b/>
          <w:smallCaps/>
          <w:sz w:val="28"/>
          <w:szCs w:val="28"/>
          <w:highlight w:val="yellow"/>
        </w:rPr>
      </w:pPr>
    </w:p>
    <w:p w:rsidR="00351279" w:rsidRDefault="00351279" w:rsidP="00351279">
      <w:pPr>
        <w:rPr>
          <w:b/>
          <w:smallCaps/>
          <w:sz w:val="28"/>
          <w:szCs w:val="28"/>
          <w:highlight w:val="yellow"/>
        </w:rPr>
      </w:pPr>
    </w:p>
    <w:p w:rsidR="00351279" w:rsidRDefault="00351279" w:rsidP="00351279">
      <w:pPr>
        <w:rPr>
          <w:b/>
          <w:smallCaps/>
          <w:sz w:val="28"/>
          <w:szCs w:val="28"/>
          <w:highlight w:val="yellow"/>
        </w:rPr>
      </w:pPr>
    </w:p>
    <w:p w:rsidR="00351279" w:rsidRDefault="00351279" w:rsidP="00351279">
      <w:pPr>
        <w:rPr>
          <w:b/>
          <w:smallCaps/>
          <w:sz w:val="28"/>
          <w:szCs w:val="28"/>
          <w:highlight w:val="yellow"/>
        </w:rPr>
      </w:pPr>
    </w:p>
    <w:p w:rsidR="00351279" w:rsidRDefault="00351279" w:rsidP="00351279">
      <w:pPr>
        <w:rPr>
          <w:b/>
          <w:smallCaps/>
          <w:sz w:val="28"/>
          <w:szCs w:val="28"/>
          <w:highlight w:val="yellow"/>
        </w:rPr>
      </w:pPr>
    </w:p>
    <w:p w:rsidR="00351279" w:rsidRDefault="00351279" w:rsidP="00351279">
      <w:pPr>
        <w:rPr>
          <w:b/>
          <w:smallCap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51279" w:rsidRPr="00046822" w:rsidTr="001D525E">
        <w:trPr>
          <w:trHeight w:val="20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351279" w:rsidRPr="009C1EA0" w:rsidRDefault="00351279" w:rsidP="001D525E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lastRenderedPageBreak/>
              <w:br w:type="page"/>
            </w:r>
            <w:r w:rsidRPr="00845E75">
              <w:rPr>
                <w:b/>
                <w:smallCaps/>
                <w:sz w:val="28"/>
                <w:szCs w:val="28"/>
              </w:rPr>
              <w:t xml:space="preserve"> Child</w:t>
            </w:r>
            <w:r>
              <w:rPr>
                <w:b/>
                <w:smallCaps/>
                <w:sz w:val="28"/>
                <w:szCs w:val="28"/>
              </w:rPr>
              <w:t xml:space="preserve"> and/or adult</w:t>
            </w:r>
            <w:r w:rsidRPr="00845E75">
              <w:rPr>
                <w:b/>
                <w:smallCaps/>
                <w:sz w:val="28"/>
                <w:szCs w:val="28"/>
              </w:rPr>
              <w:t xml:space="preserve"> Victims of Human Trafficking</w:t>
            </w:r>
          </w:p>
          <w:p w:rsidR="00351279" w:rsidRDefault="00351279" w:rsidP="001D525E">
            <w:pPr>
              <w:jc w:val="center"/>
            </w:pPr>
            <w:r w:rsidRPr="009C1EA0">
              <w:t xml:space="preserve">The </w:t>
            </w:r>
            <w:r>
              <w:t>following agencies have expertise in</w:t>
            </w:r>
            <w:r w:rsidRPr="009C1EA0">
              <w:t xml:space="preserve"> providing services to child</w:t>
            </w:r>
            <w:r>
              <w:t xml:space="preserve">ren and youth </w:t>
            </w:r>
          </w:p>
          <w:p w:rsidR="00351279" w:rsidRDefault="00351279" w:rsidP="001D525E">
            <w:pPr>
              <w:jc w:val="center"/>
            </w:pPr>
            <w:r>
              <w:t>who have experienced, or who are at-risk of being victims of commercial sexual exploitation</w:t>
            </w:r>
          </w:p>
          <w:p w:rsidR="00351279" w:rsidRPr="00046822" w:rsidRDefault="00351279" w:rsidP="001D525E">
            <w:pPr>
              <w:jc w:val="center"/>
              <w:rPr>
                <w:rFonts w:eastAsiaTheme="minorHAnsi"/>
                <w:b/>
              </w:rPr>
            </w:pPr>
          </w:p>
        </w:tc>
      </w:tr>
      <w:tr w:rsidR="00351279" w:rsidRPr="00046822" w:rsidTr="001D525E">
        <w:trPr>
          <w:trHeight w:val="20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351279" w:rsidRPr="00C07F19" w:rsidRDefault="00351279" w:rsidP="001D525E">
            <w:pPr>
              <w:jc w:val="center"/>
              <w:rPr>
                <w:b/>
              </w:rPr>
            </w:pPr>
            <w:r w:rsidRPr="00C07F19">
              <w:rPr>
                <w:b/>
              </w:rPr>
              <w:t>King County</w:t>
            </w:r>
          </w:p>
        </w:tc>
      </w:tr>
      <w:tr w:rsidR="00351279" w:rsidRPr="00046822" w:rsidTr="001D525E">
        <w:trPr>
          <w:trHeight w:val="20"/>
        </w:trPr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1279" w:rsidRPr="007951FE" w:rsidRDefault="00351279" w:rsidP="001D525E">
            <w:pPr>
              <w:ind w:left="720"/>
              <w:rPr>
                <w:b/>
              </w:rPr>
            </w:pPr>
            <w:r>
              <w:t xml:space="preserve">                          </w:t>
            </w:r>
            <w:r w:rsidRPr="00645BED">
              <w:rPr>
                <w:b/>
              </w:rPr>
              <w:t>Seattle</w:t>
            </w:r>
          </w:p>
          <w:p w:rsidR="00351279" w:rsidRDefault="00351279" w:rsidP="001D525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Northwest Network of Bisexual, Trans, Lesbian &amp; Gay Survivors of Abuse</w:t>
            </w:r>
          </w:p>
          <w:p w:rsidR="00351279" w:rsidRPr="003012C0" w:rsidRDefault="00351279" w:rsidP="001D525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>Phone: (206) 568-7777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1279" w:rsidRPr="00C07F19" w:rsidRDefault="00351279" w:rsidP="001D525E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C07F19">
              <w:rPr>
                <w:b/>
              </w:rPr>
              <w:t>Seattle</w:t>
            </w:r>
          </w:p>
          <w:p w:rsidR="00351279" w:rsidRDefault="00351279" w:rsidP="001D525E">
            <w:pPr>
              <w:ind w:left="720"/>
            </w:pPr>
            <w:r>
              <w:t xml:space="preserve">                     </w:t>
            </w:r>
            <w:proofErr w:type="spellStart"/>
            <w:r>
              <w:t>YouthCare</w:t>
            </w:r>
            <w:proofErr w:type="spellEnd"/>
          </w:p>
          <w:p w:rsidR="00351279" w:rsidRDefault="00351279" w:rsidP="001D525E">
            <w:pPr>
              <w:ind w:left="720"/>
            </w:pPr>
            <w:r>
              <w:rPr>
                <w:b/>
              </w:rPr>
              <w:t xml:space="preserve">  </w:t>
            </w:r>
            <w:r w:rsidRPr="00FE3FA8">
              <w:rPr>
                <w:b/>
              </w:rPr>
              <w:t>CSEC Hotline:</w:t>
            </w:r>
            <w:r>
              <w:t xml:space="preserve"> </w:t>
            </w:r>
            <w:r w:rsidRPr="003012C0">
              <w:t>855-400-2732</w:t>
            </w:r>
          </w:p>
          <w:p w:rsidR="001E2589" w:rsidRPr="00FE3FA8" w:rsidRDefault="001E2589" w:rsidP="001D525E">
            <w:pPr>
              <w:ind w:left="720"/>
            </w:pPr>
          </w:p>
        </w:tc>
      </w:tr>
      <w:tr w:rsidR="001E2589" w:rsidRPr="00046822" w:rsidTr="001D525E">
        <w:trPr>
          <w:trHeight w:val="20"/>
        </w:trPr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E2589" w:rsidRPr="001E2589" w:rsidRDefault="001E2589" w:rsidP="001E2589">
            <w:pPr>
              <w:jc w:val="center"/>
              <w:rPr>
                <w:b/>
              </w:rPr>
            </w:pPr>
            <w:r w:rsidRPr="001E2589">
              <w:rPr>
                <w:b/>
              </w:rPr>
              <w:t>Seattle</w:t>
            </w:r>
          </w:p>
          <w:p w:rsidR="001E2589" w:rsidRPr="001E2589" w:rsidRDefault="001E2589" w:rsidP="001E2589">
            <w:pPr>
              <w:jc w:val="center"/>
            </w:pPr>
            <w:r w:rsidRPr="001E2589">
              <w:t>Real Escape from the Sex Trade (REST)</w:t>
            </w:r>
          </w:p>
          <w:p w:rsidR="001E2589" w:rsidRPr="00262585" w:rsidRDefault="001E2589" w:rsidP="001E2589">
            <w:pPr>
              <w:jc w:val="center"/>
            </w:pPr>
            <w:r w:rsidRPr="00262585">
              <w:t>Serving Young Adults 18-24</w:t>
            </w:r>
          </w:p>
          <w:p w:rsidR="001E2589" w:rsidRDefault="001E2589" w:rsidP="001E2589">
            <w:pPr>
              <w:ind w:left="720"/>
            </w:pPr>
            <w:r>
              <w:t xml:space="preserve">     </w:t>
            </w:r>
            <w:bookmarkStart w:id="0" w:name="_GoBack"/>
            <w:bookmarkEnd w:id="0"/>
            <w:r w:rsidRPr="00262585">
              <w:t>24-Hour Hotline: 206-451-7378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E2589" w:rsidRPr="001E2589" w:rsidRDefault="001E2589" w:rsidP="001E2589">
            <w:pPr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  <w:p w:rsidR="001E2589" w:rsidRPr="001E2589" w:rsidRDefault="001E2589" w:rsidP="001E2589">
            <w:pPr>
              <w:jc w:val="center"/>
            </w:pPr>
            <w:r w:rsidRPr="001E2589">
              <w:t>Organization for Prostitution Survivors</w:t>
            </w:r>
          </w:p>
          <w:p w:rsidR="001E2589" w:rsidRPr="00262585" w:rsidRDefault="001E2589" w:rsidP="001E2589">
            <w:pPr>
              <w:jc w:val="center"/>
            </w:pPr>
            <w:r w:rsidRPr="00262585">
              <w:t>Serving Adults 18 and over</w:t>
            </w:r>
          </w:p>
          <w:p w:rsidR="001E2589" w:rsidRPr="00262585" w:rsidRDefault="001E2589" w:rsidP="001E2589">
            <w:pPr>
              <w:jc w:val="center"/>
            </w:pPr>
            <w:r w:rsidRPr="00262585">
              <w:t>Victim Advocate: 206-850-8258</w:t>
            </w:r>
          </w:p>
          <w:p w:rsidR="001E2589" w:rsidRDefault="001E2589" w:rsidP="001D525E">
            <w:pPr>
              <w:ind w:left="720"/>
              <w:rPr>
                <w:b/>
              </w:rPr>
            </w:pPr>
          </w:p>
        </w:tc>
      </w:tr>
      <w:tr w:rsidR="00351279" w:rsidRPr="00046822" w:rsidTr="001D525E">
        <w:trPr>
          <w:trHeight w:val="245"/>
        </w:trPr>
        <w:tc>
          <w:tcPr>
            <w:tcW w:w="5508" w:type="dxa"/>
            <w:shd w:val="clear" w:color="auto" w:fill="F2F2F2" w:themeFill="background1" w:themeFillShade="F2"/>
          </w:tcPr>
          <w:p w:rsidR="00351279" w:rsidRPr="00C07F19" w:rsidRDefault="00351279" w:rsidP="001D525E">
            <w:pPr>
              <w:jc w:val="center"/>
              <w:rPr>
                <w:b/>
                <w:bCs/>
                <w:highlight w:val="yellow"/>
              </w:rPr>
            </w:pPr>
            <w:r w:rsidRPr="00A86094">
              <w:rPr>
                <w:b/>
              </w:rPr>
              <w:t>Pierce County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351279" w:rsidRPr="00587224" w:rsidRDefault="00351279" w:rsidP="001D525E">
            <w:pPr>
              <w:jc w:val="center"/>
              <w:rPr>
                <w:b/>
                <w:bCs/>
              </w:rPr>
            </w:pPr>
            <w:r w:rsidRPr="00645BED">
              <w:rPr>
                <w:b/>
              </w:rPr>
              <w:t>Thurston County</w:t>
            </w:r>
          </w:p>
        </w:tc>
      </w:tr>
      <w:tr w:rsidR="00351279" w:rsidRPr="00046822" w:rsidTr="001D525E">
        <w:trPr>
          <w:trHeight w:val="1136"/>
        </w:trPr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51279" w:rsidRDefault="00351279" w:rsidP="001D525E">
            <w:pPr>
              <w:rPr>
                <w:sz w:val="22"/>
                <w:szCs w:val="22"/>
              </w:rPr>
            </w:pPr>
            <w:r w:rsidRPr="00A86094">
              <w:rPr>
                <w:b/>
              </w:rPr>
              <w:t xml:space="preserve">                         </w:t>
            </w:r>
            <w:r w:rsidRPr="00A86094">
              <w:rPr>
                <w:sz w:val="22"/>
                <w:szCs w:val="22"/>
              </w:rPr>
              <w:t xml:space="preserve"> Oasis Youth Center</w:t>
            </w:r>
          </w:p>
          <w:p w:rsidR="00351279" w:rsidRPr="00CD2829" w:rsidRDefault="00351279" w:rsidP="001D525E">
            <w:pPr>
              <w:jc w:val="center"/>
              <w:rPr>
                <w:rFonts w:eastAsiaTheme="minorHAnsi"/>
              </w:rPr>
            </w:pPr>
            <w:r w:rsidRPr="00CD2829">
              <w:rPr>
                <w:rFonts w:eastAsiaTheme="minorHAnsi"/>
              </w:rPr>
              <w:t>Serving LGBTQ Youth and Young Adults 14-24</w:t>
            </w:r>
          </w:p>
          <w:p w:rsidR="00351279" w:rsidRPr="00CD2829" w:rsidRDefault="00351279" w:rsidP="001D525E">
            <w:pPr>
              <w:jc w:val="center"/>
              <w:rPr>
                <w:rFonts w:eastAsiaTheme="minorHAnsi"/>
              </w:rPr>
            </w:pPr>
            <w:r w:rsidRPr="00CD2829">
              <w:rPr>
                <w:rFonts w:eastAsiaTheme="minorHAnsi"/>
              </w:rPr>
              <w:t>Phone: (253) 671-2838</w:t>
            </w:r>
          </w:p>
          <w:p w:rsidR="00351279" w:rsidRPr="00A86094" w:rsidRDefault="00351279" w:rsidP="001D525E">
            <w:pPr>
              <w:ind w:firstLine="720"/>
              <w:rPr>
                <w:sz w:val="22"/>
                <w:szCs w:val="22"/>
              </w:rPr>
            </w:pPr>
            <w:r>
              <w:rPr>
                <w:rFonts w:eastAsiaTheme="minorHAnsi"/>
              </w:rPr>
              <w:t xml:space="preserve">            </w:t>
            </w:r>
            <w:r w:rsidRPr="00CD2829">
              <w:rPr>
                <w:rFonts w:eastAsiaTheme="minorHAnsi"/>
              </w:rPr>
              <w:t>Hotline: 253-988-2108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51279" w:rsidRPr="00645BED" w:rsidRDefault="00351279" w:rsidP="001D525E">
            <w:pPr>
              <w:ind w:firstLine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Olympia</w:t>
            </w:r>
          </w:p>
          <w:p w:rsidR="00351279" w:rsidRPr="00C07F19" w:rsidRDefault="00351279" w:rsidP="001D525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C07F19">
              <w:rPr>
                <w:sz w:val="22"/>
                <w:szCs w:val="22"/>
              </w:rPr>
              <w:t>Community Youth Services</w:t>
            </w:r>
          </w:p>
          <w:p w:rsidR="00351279" w:rsidRPr="003A73B6" w:rsidRDefault="00351279" w:rsidP="001D525E">
            <w:pPr>
              <w:jc w:val="center"/>
            </w:pPr>
            <w:r w:rsidRPr="00C07F19">
              <w:t xml:space="preserve">          1-888-698-1816 </w:t>
            </w:r>
            <w:r w:rsidRPr="00C07F19">
              <w:rPr>
                <w:rFonts w:eastAsiaTheme="minorHAnsi"/>
              </w:rPr>
              <w:t>(Monday-Friday, 8am-5pm)</w:t>
            </w:r>
          </w:p>
        </w:tc>
      </w:tr>
      <w:tr w:rsidR="00351279" w:rsidRPr="00046822" w:rsidTr="001D525E">
        <w:trPr>
          <w:trHeight w:val="20"/>
        </w:trPr>
        <w:tc>
          <w:tcPr>
            <w:tcW w:w="5508" w:type="dxa"/>
            <w:shd w:val="clear" w:color="auto" w:fill="F2F2F2" w:themeFill="background1" w:themeFillShade="F2"/>
          </w:tcPr>
          <w:p w:rsidR="00351279" w:rsidRPr="00A86094" w:rsidRDefault="00351279" w:rsidP="001D525E">
            <w:pPr>
              <w:jc w:val="center"/>
              <w:rPr>
                <w:b/>
              </w:rPr>
            </w:pPr>
            <w:r w:rsidRPr="00C07F19">
              <w:rPr>
                <w:b/>
                <w:bCs/>
              </w:rPr>
              <w:t>Snohomish County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351279" w:rsidRPr="003A73B6" w:rsidRDefault="00351279" w:rsidP="001D525E">
            <w:pPr>
              <w:jc w:val="center"/>
              <w:rPr>
                <w:b/>
              </w:rPr>
            </w:pPr>
            <w:r w:rsidRPr="003A73B6">
              <w:rPr>
                <w:b/>
              </w:rPr>
              <w:t>Thurston County</w:t>
            </w:r>
          </w:p>
        </w:tc>
      </w:tr>
      <w:tr w:rsidR="00351279" w:rsidRPr="00046822" w:rsidTr="001D525E">
        <w:trPr>
          <w:trHeight w:val="20"/>
        </w:trPr>
        <w:tc>
          <w:tcPr>
            <w:tcW w:w="5508" w:type="dxa"/>
            <w:shd w:val="clear" w:color="auto" w:fill="auto"/>
          </w:tcPr>
          <w:p w:rsidR="00351279" w:rsidRPr="00A86094" w:rsidRDefault="00351279" w:rsidP="001D525E">
            <w:pPr>
              <w:ind w:firstLine="720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A86094">
              <w:rPr>
                <w:b/>
              </w:rPr>
              <w:t>Everett</w:t>
            </w:r>
          </w:p>
          <w:p w:rsidR="00351279" w:rsidRPr="00A86094" w:rsidRDefault="00351279" w:rsidP="001D525E">
            <w:pPr>
              <w:jc w:val="center"/>
            </w:pPr>
            <w:r w:rsidRPr="00A86094">
              <w:t xml:space="preserve">    Providence Intervention Center for Abuse and Assault</w:t>
            </w:r>
          </w:p>
          <w:p w:rsidR="00351279" w:rsidRPr="002A45AD" w:rsidRDefault="00351279" w:rsidP="001D525E">
            <w:pPr>
              <w:ind w:firstLine="720"/>
            </w:pPr>
            <w:r w:rsidRPr="00A86094">
              <w:t xml:space="preserve">    Human Trafficking Hotline: 425-258-9037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51279" w:rsidRPr="003A73B6" w:rsidRDefault="00351279" w:rsidP="001D525E">
            <w:pPr>
              <w:jc w:val="center"/>
            </w:pPr>
            <w:r w:rsidRPr="003A73B6">
              <w:t>Thurston</w:t>
            </w:r>
          </w:p>
          <w:p w:rsidR="00351279" w:rsidRPr="003A73B6" w:rsidRDefault="00351279" w:rsidP="001D525E">
            <w:pPr>
              <w:jc w:val="center"/>
            </w:pPr>
            <w:r w:rsidRPr="003A73B6">
              <w:t>Partners in Prevention Education (PIPE)</w:t>
            </w:r>
          </w:p>
          <w:p w:rsidR="00351279" w:rsidRPr="003A73B6" w:rsidRDefault="00351279" w:rsidP="001D525E">
            <w:pPr>
              <w:jc w:val="center"/>
            </w:pPr>
            <w:r w:rsidRPr="003A73B6">
              <w:t>Serving LGBTQ Youth and Young Adults 13-30</w:t>
            </w:r>
          </w:p>
          <w:p w:rsidR="00351279" w:rsidRPr="003A73B6" w:rsidRDefault="00351279" w:rsidP="001D525E">
            <w:pPr>
              <w:jc w:val="center"/>
            </w:pPr>
            <w:r w:rsidRPr="003A73B6">
              <w:t>Phone: (360) 357-4472</w:t>
            </w:r>
          </w:p>
        </w:tc>
      </w:tr>
      <w:tr w:rsidR="00351279" w:rsidRPr="00046822" w:rsidTr="001D525E">
        <w:trPr>
          <w:trHeight w:val="20"/>
        </w:trPr>
        <w:tc>
          <w:tcPr>
            <w:tcW w:w="5508" w:type="dxa"/>
            <w:shd w:val="clear" w:color="auto" w:fill="F2F2F2" w:themeFill="background1" w:themeFillShade="F2"/>
          </w:tcPr>
          <w:p w:rsidR="00351279" w:rsidRDefault="00351279" w:rsidP="001D525E">
            <w:pPr>
              <w:ind w:firstLine="720"/>
              <w:rPr>
                <w:sz w:val="22"/>
                <w:szCs w:val="22"/>
              </w:rPr>
            </w:pPr>
            <w:r>
              <w:rPr>
                <w:b/>
              </w:rPr>
              <w:t xml:space="preserve">               </w:t>
            </w:r>
            <w:r w:rsidRPr="00C07F19">
              <w:rPr>
                <w:b/>
                <w:bCs/>
              </w:rPr>
              <w:t xml:space="preserve"> </w:t>
            </w:r>
            <w:r w:rsidRPr="00587224">
              <w:rPr>
                <w:b/>
                <w:bCs/>
              </w:rPr>
              <w:t xml:space="preserve"> Spokane County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351279" w:rsidRPr="00FE3FA8" w:rsidRDefault="00351279" w:rsidP="001D525E">
            <w:pPr>
              <w:jc w:val="center"/>
              <w:rPr>
                <w:b/>
              </w:rPr>
            </w:pPr>
            <w:r w:rsidRPr="003A73B6">
              <w:rPr>
                <w:b/>
              </w:rPr>
              <w:t>Yakima County</w:t>
            </w:r>
          </w:p>
        </w:tc>
      </w:tr>
      <w:tr w:rsidR="00351279" w:rsidRPr="00046822" w:rsidTr="001D525E">
        <w:trPr>
          <w:trHeight w:val="20"/>
        </w:trPr>
        <w:tc>
          <w:tcPr>
            <w:tcW w:w="5508" w:type="dxa"/>
            <w:shd w:val="clear" w:color="auto" w:fill="auto"/>
          </w:tcPr>
          <w:p w:rsidR="00351279" w:rsidRPr="00587224" w:rsidRDefault="00351279" w:rsidP="001D525E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587224">
              <w:rPr>
                <w:rFonts w:eastAsiaTheme="minorHAnsi"/>
                <w:b/>
              </w:rPr>
              <w:t>Spokane</w:t>
            </w:r>
          </w:p>
          <w:p w:rsidR="00351279" w:rsidRPr="00587224" w:rsidRDefault="00351279" w:rsidP="001D525E">
            <w:pPr>
              <w:jc w:val="center"/>
              <w:rPr>
                <w:rFonts w:eastAsiaTheme="minorHAnsi"/>
              </w:rPr>
            </w:pPr>
            <w:r w:rsidRPr="00587224">
              <w:rPr>
                <w:rFonts w:eastAsiaTheme="minorHAnsi"/>
              </w:rPr>
              <w:t>Sexual Assault and Family Trauma (</w:t>
            </w:r>
            <w:proofErr w:type="spellStart"/>
            <w:r w:rsidRPr="00587224">
              <w:rPr>
                <w:rFonts w:eastAsiaTheme="minorHAnsi"/>
              </w:rPr>
              <w:t>SAFeT</w:t>
            </w:r>
            <w:proofErr w:type="spellEnd"/>
            <w:r w:rsidRPr="00587224">
              <w:rPr>
                <w:rFonts w:eastAsiaTheme="minorHAnsi"/>
              </w:rPr>
              <w:t>)</w:t>
            </w:r>
          </w:p>
          <w:p w:rsidR="00351279" w:rsidRPr="00587224" w:rsidRDefault="00351279" w:rsidP="001D525E">
            <w:pPr>
              <w:jc w:val="center"/>
              <w:rPr>
                <w:rFonts w:eastAsiaTheme="minorHAnsi"/>
              </w:rPr>
            </w:pPr>
            <w:r w:rsidRPr="00587224">
              <w:rPr>
                <w:rFonts w:eastAsiaTheme="minorHAnsi"/>
              </w:rPr>
              <w:t xml:space="preserve">Response Center </w:t>
            </w:r>
          </w:p>
          <w:p w:rsidR="00351279" w:rsidRPr="00587224" w:rsidRDefault="00351279" w:rsidP="001D525E">
            <w:pPr>
              <w:jc w:val="center"/>
              <w:rPr>
                <w:rFonts w:eastAsiaTheme="minorHAnsi"/>
              </w:rPr>
            </w:pPr>
            <w:r w:rsidRPr="00587224">
              <w:rPr>
                <w:rFonts w:eastAsiaTheme="minorHAnsi"/>
              </w:rPr>
              <w:t>Phone: (509)747-8224</w:t>
            </w:r>
          </w:p>
          <w:p w:rsidR="00351279" w:rsidRDefault="00351279" w:rsidP="001D525E">
            <w:pPr>
              <w:ind w:firstLine="720"/>
              <w:rPr>
                <w:sz w:val="22"/>
                <w:szCs w:val="22"/>
              </w:rPr>
            </w:pPr>
            <w:r w:rsidRPr="00587224">
              <w:rPr>
                <w:rFonts w:eastAsiaTheme="minorHAnsi"/>
              </w:rPr>
              <w:t>24-Hour Hotline: 509-624-7273</w:t>
            </w:r>
          </w:p>
        </w:tc>
        <w:tc>
          <w:tcPr>
            <w:tcW w:w="5508" w:type="dxa"/>
            <w:shd w:val="clear" w:color="auto" w:fill="auto"/>
          </w:tcPr>
          <w:p w:rsidR="00351279" w:rsidRPr="00FE3FA8" w:rsidRDefault="00351279" w:rsidP="001D525E">
            <w:pPr>
              <w:jc w:val="center"/>
              <w:rPr>
                <w:b/>
              </w:rPr>
            </w:pPr>
            <w:r w:rsidRPr="00FE3FA8">
              <w:rPr>
                <w:b/>
              </w:rPr>
              <w:t>Yakima</w:t>
            </w:r>
          </w:p>
          <w:p w:rsidR="00351279" w:rsidRPr="00FE3FA8" w:rsidRDefault="00351279" w:rsidP="001D525E">
            <w:pPr>
              <w:jc w:val="center"/>
            </w:pPr>
            <w:r w:rsidRPr="00FE3FA8">
              <w:t>Comprehensive Mental Health</w:t>
            </w:r>
          </w:p>
          <w:p w:rsidR="00351279" w:rsidRPr="00FE3FA8" w:rsidRDefault="00351279" w:rsidP="001D525E">
            <w:pPr>
              <w:jc w:val="center"/>
            </w:pPr>
            <w:r w:rsidRPr="00FE3FA8">
              <w:t>509-575-4824</w:t>
            </w:r>
          </w:p>
          <w:p w:rsidR="00351279" w:rsidRPr="00FE3FA8" w:rsidRDefault="00351279" w:rsidP="001D525E">
            <w:pPr>
              <w:ind w:firstLine="720"/>
              <w:rPr>
                <w:b/>
              </w:rPr>
            </w:pPr>
            <w:r w:rsidRPr="00FE3FA8">
              <w:rPr>
                <w:b/>
              </w:rPr>
              <w:t xml:space="preserve">24-Hour </w:t>
            </w:r>
            <w:r w:rsidRPr="003123A6">
              <w:rPr>
                <w:b/>
              </w:rPr>
              <w:t xml:space="preserve">Hotline: </w:t>
            </w:r>
            <w:r w:rsidRPr="003123A6">
              <w:rPr>
                <w:rFonts w:eastAsiaTheme="minorHAnsi"/>
              </w:rPr>
              <w:t>1-866-523-6468</w:t>
            </w:r>
          </w:p>
        </w:tc>
      </w:tr>
    </w:tbl>
    <w:p w:rsidR="00351279" w:rsidRPr="003C6090" w:rsidRDefault="00351279" w:rsidP="00351279"/>
    <w:sectPr w:rsidR="00351279" w:rsidRPr="003C6090" w:rsidSect="00A5538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F2" w:rsidRDefault="008548F2" w:rsidP="006E079A">
      <w:r>
        <w:separator/>
      </w:r>
    </w:p>
  </w:endnote>
  <w:endnote w:type="continuationSeparator" w:id="0">
    <w:p w:rsidR="008548F2" w:rsidRDefault="008548F2" w:rsidP="006E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49" w:rsidRDefault="00825549">
    <w:pPr>
      <w:pStyle w:val="Footer"/>
    </w:pPr>
    <w:r>
      <w:rPr>
        <w:noProof/>
      </w:rPr>
      <w:drawing>
        <wp:inline distT="0" distB="0" distL="0" distR="0" wp14:anchorId="4DA829EC" wp14:editId="475D232B">
          <wp:extent cx="2476500" cy="705427"/>
          <wp:effectExtent l="0" t="0" r="0" b="0"/>
          <wp:docPr id="2" name="Picture 2" descr="http://www.cted.wa.gov/images/_CommunityServices/mast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ted.wa.gov/images/_CommunityServices/mast_ne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0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549" w:rsidRPr="00825549" w:rsidRDefault="00825549">
    <w:pPr>
      <w:pStyle w:val="Footer"/>
      <w:rPr>
        <w:sz w:val="20"/>
        <w:szCs w:val="20"/>
      </w:rPr>
    </w:pPr>
    <w:r>
      <w:rPr>
        <w:sz w:val="20"/>
        <w:szCs w:val="20"/>
      </w:rPr>
      <w:t>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F2" w:rsidRDefault="008548F2" w:rsidP="006E079A">
      <w:r>
        <w:separator/>
      </w:r>
    </w:p>
  </w:footnote>
  <w:footnote w:type="continuationSeparator" w:id="0">
    <w:p w:rsidR="008548F2" w:rsidRDefault="008548F2" w:rsidP="006E079A">
      <w:r>
        <w:continuationSeparator/>
      </w:r>
    </w:p>
  </w:footnote>
  <w:footnote w:id="1">
    <w:p w:rsidR="008548F2" w:rsidRDefault="008548F2">
      <w:pPr>
        <w:pStyle w:val="FootnoteText"/>
      </w:pPr>
      <w:r>
        <w:rPr>
          <w:rStyle w:val="FootnoteReference"/>
        </w:rPr>
        <w:footnoteRef/>
      </w:r>
      <w:r>
        <w:t xml:space="preserve"> Combating Human Trafficking in Washington State, Washington Anti-Trafficking Response Network</w:t>
      </w:r>
    </w:p>
    <w:p w:rsidR="0023445F" w:rsidRDefault="0023445F">
      <w:pPr>
        <w:pStyle w:val="FootnoteText"/>
      </w:pPr>
    </w:p>
    <w:p w:rsidR="0023445F" w:rsidRDefault="0023445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5A" w:rsidRDefault="008548F2" w:rsidP="00CB0D5A">
    <w:pPr>
      <w:jc w:val="center"/>
      <w:rPr>
        <w:b/>
        <w:sz w:val="28"/>
        <w:szCs w:val="28"/>
      </w:rPr>
    </w:pPr>
    <w:r w:rsidRPr="009C1EA0">
      <w:rPr>
        <w:b/>
        <w:sz w:val="28"/>
        <w:szCs w:val="28"/>
      </w:rPr>
      <w:t>Identifying and Responding to Victims of</w:t>
    </w:r>
    <w:r>
      <w:rPr>
        <w:b/>
        <w:sz w:val="28"/>
        <w:szCs w:val="28"/>
      </w:rPr>
      <w:t xml:space="preserve"> Human Trafficking</w:t>
    </w:r>
  </w:p>
  <w:p w:rsidR="003C6090" w:rsidRPr="008170B6" w:rsidRDefault="003C6090" w:rsidP="00CB0D5A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B14"/>
    <w:multiLevelType w:val="hybridMultilevel"/>
    <w:tmpl w:val="7884E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F3C"/>
    <w:multiLevelType w:val="hybridMultilevel"/>
    <w:tmpl w:val="E2765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A140C"/>
    <w:multiLevelType w:val="hybridMultilevel"/>
    <w:tmpl w:val="E8489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3872"/>
    <w:multiLevelType w:val="hybridMultilevel"/>
    <w:tmpl w:val="67C454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1D7AD7"/>
    <w:multiLevelType w:val="hybridMultilevel"/>
    <w:tmpl w:val="79F06C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976FD"/>
    <w:multiLevelType w:val="hybridMultilevel"/>
    <w:tmpl w:val="2536F8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3E3A1D"/>
    <w:multiLevelType w:val="hybridMultilevel"/>
    <w:tmpl w:val="551A5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85136"/>
    <w:multiLevelType w:val="hybridMultilevel"/>
    <w:tmpl w:val="4D308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3293A"/>
    <w:multiLevelType w:val="hybridMultilevel"/>
    <w:tmpl w:val="39B2E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30FB2"/>
    <w:multiLevelType w:val="hybridMultilevel"/>
    <w:tmpl w:val="AE50C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24938"/>
    <w:multiLevelType w:val="hybridMultilevel"/>
    <w:tmpl w:val="E294F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B354E"/>
    <w:multiLevelType w:val="hybridMultilevel"/>
    <w:tmpl w:val="5852D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4E4105"/>
    <w:multiLevelType w:val="hybridMultilevel"/>
    <w:tmpl w:val="51C69A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64F1A"/>
    <w:multiLevelType w:val="hybridMultilevel"/>
    <w:tmpl w:val="C7AED2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8F269A"/>
    <w:multiLevelType w:val="hybridMultilevel"/>
    <w:tmpl w:val="43F44A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2"/>
    <w:rsid w:val="0001631D"/>
    <w:rsid w:val="00016EE0"/>
    <w:rsid w:val="00020F63"/>
    <w:rsid w:val="00036530"/>
    <w:rsid w:val="00046822"/>
    <w:rsid w:val="00052FE6"/>
    <w:rsid w:val="00055A86"/>
    <w:rsid w:val="0006604F"/>
    <w:rsid w:val="0008089B"/>
    <w:rsid w:val="00082E05"/>
    <w:rsid w:val="00090C38"/>
    <w:rsid w:val="000A2572"/>
    <w:rsid w:val="000C0A09"/>
    <w:rsid w:val="000D6293"/>
    <w:rsid w:val="000E32CF"/>
    <w:rsid w:val="00166427"/>
    <w:rsid w:val="00177307"/>
    <w:rsid w:val="001D5083"/>
    <w:rsid w:val="001D614B"/>
    <w:rsid w:val="001E2589"/>
    <w:rsid w:val="001E458E"/>
    <w:rsid w:val="00203E37"/>
    <w:rsid w:val="0023445F"/>
    <w:rsid w:val="00237675"/>
    <w:rsid w:val="002465F4"/>
    <w:rsid w:val="002573A7"/>
    <w:rsid w:val="002714E3"/>
    <w:rsid w:val="00284782"/>
    <w:rsid w:val="00295612"/>
    <w:rsid w:val="002A0ED1"/>
    <w:rsid w:val="002B35C6"/>
    <w:rsid w:val="002B6657"/>
    <w:rsid w:val="002C7CEC"/>
    <w:rsid w:val="002D6FF7"/>
    <w:rsid w:val="00303595"/>
    <w:rsid w:val="003159C7"/>
    <w:rsid w:val="0031622F"/>
    <w:rsid w:val="003207E4"/>
    <w:rsid w:val="00320BB1"/>
    <w:rsid w:val="00322CBD"/>
    <w:rsid w:val="00337932"/>
    <w:rsid w:val="003406C3"/>
    <w:rsid w:val="0034719B"/>
    <w:rsid w:val="0035036F"/>
    <w:rsid w:val="00351279"/>
    <w:rsid w:val="0035194B"/>
    <w:rsid w:val="003641C1"/>
    <w:rsid w:val="00376D0C"/>
    <w:rsid w:val="003A0917"/>
    <w:rsid w:val="003B49ED"/>
    <w:rsid w:val="003C57B3"/>
    <w:rsid w:val="003C6090"/>
    <w:rsid w:val="0042456A"/>
    <w:rsid w:val="004310AB"/>
    <w:rsid w:val="00434090"/>
    <w:rsid w:val="0044086E"/>
    <w:rsid w:val="004608ED"/>
    <w:rsid w:val="00460B08"/>
    <w:rsid w:val="00462624"/>
    <w:rsid w:val="004726DE"/>
    <w:rsid w:val="004822B4"/>
    <w:rsid w:val="00491372"/>
    <w:rsid w:val="004D3ADB"/>
    <w:rsid w:val="004F4ED2"/>
    <w:rsid w:val="004F5DFA"/>
    <w:rsid w:val="0050411D"/>
    <w:rsid w:val="005166DC"/>
    <w:rsid w:val="005224FF"/>
    <w:rsid w:val="00587186"/>
    <w:rsid w:val="005B4688"/>
    <w:rsid w:val="005B6DFE"/>
    <w:rsid w:val="005C575E"/>
    <w:rsid w:val="005F53B8"/>
    <w:rsid w:val="0062618C"/>
    <w:rsid w:val="006704F6"/>
    <w:rsid w:val="00676CC2"/>
    <w:rsid w:val="006C634A"/>
    <w:rsid w:val="006D26CA"/>
    <w:rsid w:val="006E079A"/>
    <w:rsid w:val="006F0AE7"/>
    <w:rsid w:val="006F1D1D"/>
    <w:rsid w:val="006F3EBE"/>
    <w:rsid w:val="006F40E8"/>
    <w:rsid w:val="00710846"/>
    <w:rsid w:val="0071101D"/>
    <w:rsid w:val="00753E39"/>
    <w:rsid w:val="00797B12"/>
    <w:rsid w:val="007A5E9E"/>
    <w:rsid w:val="007B0B75"/>
    <w:rsid w:val="007B323C"/>
    <w:rsid w:val="007E1DEA"/>
    <w:rsid w:val="007F5E0D"/>
    <w:rsid w:val="00801BD7"/>
    <w:rsid w:val="008170B6"/>
    <w:rsid w:val="008212B9"/>
    <w:rsid w:val="00825549"/>
    <w:rsid w:val="00825793"/>
    <w:rsid w:val="00845E75"/>
    <w:rsid w:val="008548F2"/>
    <w:rsid w:val="00863513"/>
    <w:rsid w:val="008833EC"/>
    <w:rsid w:val="0089705F"/>
    <w:rsid w:val="008E1707"/>
    <w:rsid w:val="0093544A"/>
    <w:rsid w:val="009606A5"/>
    <w:rsid w:val="009614D8"/>
    <w:rsid w:val="009666ED"/>
    <w:rsid w:val="009B51C3"/>
    <w:rsid w:val="009C06D2"/>
    <w:rsid w:val="009C1EA0"/>
    <w:rsid w:val="009E3D01"/>
    <w:rsid w:val="009F59DE"/>
    <w:rsid w:val="00A13667"/>
    <w:rsid w:val="00A330B5"/>
    <w:rsid w:val="00A55387"/>
    <w:rsid w:val="00A93875"/>
    <w:rsid w:val="00AA2D9B"/>
    <w:rsid w:val="00AB3E98"/>
    <w:rsid w:val="00B04406"/>
    <w:rsid w:val="00B836DF"/>
    <w:rsid w:val="00B851A4"/>
    <w:rsid w:val="00BB2C30"/>
    <w:rsid w:val="00BB6611"/>
    <w:rsid w:val="00BC6013"/>
    <w:rsid w:val="00BE2696"/>
    <w:rsid w:val="00BE3179"/>
    <w:rsid w:val="00BF4DDD"/>
    <w:rsid w:val="00C24B3E"/>
    <w:rsid w:val="00C94207"/>
    <w:rsid w:val="00CB0D5A"/>
    <w:rsid w:val="00CB379D"/>
    <w:rsid w:val="00CB6202"/>
    <w:rsid w:val="00D12505"/>
    <w:rsid w:val="00D16A36"/>
    <w:rsid w:val="00D33065"/>
    <w:rsid w:val="00D40697"/>
    <w:rsid w:val="00D4377E"/>
    <w:rsid w:val="00D64D38"/>
    <w:rsid w:val="00D96C35"/>
    <w:rsid w:val="00DA3DF2"/>
    <w:rsid w:val="00DB2F82"/>
    <w:rsid w:val="00DC023C"/>
    <w:rsid w:val="00DE14CB"/>
    <w:rsid w:val="00DF55B6"/>
    <w:rsid w:val="00E250BF"/>
    <w:rsid w:val="00E25B1F"/>
    <w:rsid w:val="00E625C5"/>
    <w:rsid w:val="00E639F0"/>
    <w:rsid w:val="00E9184F"/>
    <w:rsid w:val="00E957E5"/>
    <w:rsid w:val="00EA24B0"/>
    <w:rsid w:val="00EA6DB9"/>
    <w:rsid w:val="00EE7318"/>
    <w:rsid w:val="00EF71F5"/>
    <w:rsid w:val="00F20644"/>
    <w:rsid w:val="00F4439C"/>
    <w:rsid w:val="00F61573"/>
    <w:rsid w:val="00F6526C"/>
    <w:rsid w:val="00F86F24"/>
    <w:rsid w:val="00F94CFE"/>
    <w:rsid w:val="00FA017F"/>
    <w:rsid w:val="00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9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E0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9A"/>
    <w:rPr>
      <w:sz w:val="24"/>
      <w:szCs w:val="24"/>
    </w:rPr>
  </w:style>
  <w:style w:type="paragraph" w:styleId="BalloonText">
    <w:name w:val="Balloon Text"/>
    <w:basedOn w:val="Normal"/>
    <w:link w:val="BalloonTextChar"/>
    <w:rsid w:val="006E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E17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1707"/>
  </w:style>
  <w:style w:type="character" w:styleId="FootnoteReference">
    <w:name w:val="footnote reference"/>
    <w:basedOn w:val="DefaultParagraphFont"/>
    <w:rsid w:val="008E1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50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9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E0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9A"/>
    <w:rPr>
      <w:sz w:val="24"/>
      <w:szCs w:val="24"/>
    </w:rPr>
  </w:style>
  <w:style w:type="paragraph" w:styleId="BalloonText">
    <w:name w:val="Balloon Text"/>
    <w:basedOn w:val="Normal"/>
    <w:link w:val="BalloonTextChar"/>
    <w:rsid w:val="006E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E17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1707"/>
  </w:style>
  <w:style w:type="character" w:styleId="FootnoteReference">
    <w:name w:val="footnote reference"/>
    <w:basedOn w:val="DefaultParagraphFont"/>
    <w:rsid w:val="008E1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50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8083-1F74-4BD9-BB03-BE7701DD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5092</Characters>
  <Application>Microsoft Office Word</Application>
  <DocSecurity>0</DocSecurity>
  <Lines>108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Victims of Human Trafficking</vt:lpstr>
    </vt:vector>
  </TitlesOfParts>
  <Company>CTED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Victims of Human Trafficking</dc:title>
  <dc:creator>Amy Pearson</dc:creator>
  <cp:lastModifiedBy>Pratt, Stephanie (COM)</cp:lastModifiedBy>
  <cp:revision>6</cp:revision>
  <cp:lastPrinted>2011-10-26T22:13:00Z</cp:lastPrinted>
  <dcterms:created xsi:type="dcterms:W3CDTF">2015-11-23T17:26:00Z</dcterms:created>
  <dcterms:modified xsi:type="dcterms:W3CDTF">2016-07-13T17:26:00Z</dcterms:modified>
</cp:coreProperties>
</file>