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70" w:rsidRDefault="00A9561D" w:rsidP="006C3B82">
      <w:pPr>
        <w:rPr>
          <w:b/>
        </w:rPr>
      </w:pPr>
      <w:bookmarkStart w:id="0" w:name="_GoBack"/>
      <w:bookmarkEnd w:id="0"/>
      <w:r>
        <w:rPr>
          <w:b/>
          <w:noProof/>
        </w:rPr>
        <w:drawing>
          <wp:anchor distT="0" distB="0" distL="114300" distR="114300" simplePos="0" relativeHeight="251658240" behindDoc="0" locked="0" layoutInCell="1" allowOverlap="1" wp14:anchorId="158ECCA9" wp14:editId="224E36CE">
            <wp:simplePos x="0" y="0"/>
            <wp:positionH relativeFrom="column">
              <wp:posOffset>-28575</wp:posOffset>
            </wp:positionH>
            <wp:positionV relativeFrom="paragraph">
              <wp:posOffset>-600075</wp:posOffset>
            </wp:positionV>
            <wp:extent cx="4096512" cy="7132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_Doc_Logo.jpg"/>
                    <pic:cNvPicPr/>
                  </pic:nvPicPr>
                  <pic:blipFill>
                    <a:blip r:embed="rId13">
                      <a:extLst>
                        <a:ext uri="{28A0092B-C50C-407E-A947-70E740481C1C}">
                          <a14:useLocalDpi xmlns:a14="http://schemas.microsoft.com/office/drawing/2010/main" val="0"/>
                        </a:ext>
                      </a:extLst>
                    </a:blip>
                    <a:stretch>
                      <a:fillRect/>
                    </a:stretch>
                  </pic:blipFill>
                  <pic:spPr>
                    <a:xfrm>
                      <a:off x="0" y="0"/>
                      <a:ext cx="4096512" cy="713232"/>
                    </a:xfrm>
                    <a:prstGeom prst="rect">
                      <a:avLst/>
                    </a:prstGeom>
                  </pic:spPr>
                </pic:pic>
              </a:graphicData>
            </a:graphic>
            <wp14:sizeRelH relativeFrom="margin">
              <wp14:pctWidth>0</wp14:pctWidth>
            </wp14:sizeRelH>
            <wp14:sizeRelV relativeFrom="margin">
              <wp14:pctHeight>0</wp14:pctHeight>
            </wp14:sizeRelV>
          </wp:anchor>
        </w:drawing>
      </w:r>
    </w:p>
    <w:p w:rsidR="0030728D" w:rsidRPr="00C874E8" w:rsidRDefault="0030728D" w:rsidP="0030728D">
      <w:pPr>
        <w:jc w:val="center"/>
        <w:rPr>
          <w:i/>
        </w:rPr>
      </w:pPr>
      <w:r>
        <w:rPr>
          <w:i/>
        </w:rPr>
        <w:t>*Excerpted from Section 2</w:t>
      </w:r>
      <w:r w:rsidR="004E04D8">
        <w:rPr>
          <w:i/>
        </w:rPr>
        <w:t xml:space="preserve"> </w:t>
      </w:r>
      <w:r>
        <w:rPr>
          <w:i/>
        </w:rPr>
        <w:t xml:space="preserve">of the </w:t>
      </w:r>
      <w:r w:rsidRPr="00C874E8">
        <w:rPr>
          <w:i/>
        </w:rPr>
        <w:t>CSBG Policy and Procedure manual</w:t>
      </w:r>
      <w:r>
        <w:rPr>
          <w:i/>
        </w:rPr>
        <w:t>*</w:t>
      </w:r>
    </w:p>
    <w:p w:rsidR="00C874E8" w:rsidRDefault="00C874E8" w:rsidP="006C3B82">
      <w:pPr>
        <w:rPr>
          <w:b/>
        </w:rPr>
      </w:pPr>
    </w:p>
    <w:p w:rsidR="00A174FA" w:rsidRPr="0030728D" w:rsidRDefault="00391D45" w:rsidP="0030728D">
      <w:pPr>
        <w:jc w:val="center"/>
        <w:rPr>
          <w:b/>
          <w:sz w:val="28"/>
          <w:u w:val="single"/>
        </w:rPr>
      </w:pPr>
      <w:r w:rsidRPr="0030728D">
        <w:rPr>
          <w:b/>
          <w:sz w:val="28"/>
          <w:u w:val="single"/>
        </w:rPr>
        <w:t>ORGANIZATIONAL STANDARDS</w:t>
      </w:r>
      <w:r w:rsidR="00C874E8" w:rsidRPr="0030728D">
        <w:rPr>
          <w:b/>
          <w:sz w:val="28"/>
          <w:u w:val="single"/>
        </w:rPr>
        <w:t xml:space="preserve"> POLICY</w:t>
      </w:r>
    </w:p>
    <w:p w:rsidR="0030728D" w:rsidRPr="00380270" w:rsidRDefault="0030728D" w:rsidP="00380270">
      <w:pPr>
        <w:rPr>
          <w:b/>
        </w:rPr>
      </w:pPr>
    </w:p>
    <w:p w:rsidR="00391D45" w:rsidRDefault="00391D45">
      <w:pPr>
        <w:rPr>
          <w:b/>
        </w:rPr>
      </w:pPr>
      <w:r w:rsidRPr="00391D45">
        <w:rPr>
          <w:b/>
        </w:rPr>
        <w:t>200</w:t>
      </w:r>
      <w:r w:rsidR="00DD4E4A">
        <w:rPr>
          <w:b/>
        </w:rPr>
        <w:t>. AUTHORITY</w:t>
      </w:r>
    </w:p>
    <w:p w:rsidR="00391D45" w:rsidRDefault="00391D45" w:rsidP="00391D45">
      <w:pPr>
        <w:tabs>
          <w:tab w:val="left" w:pos="450"/>
        </w:tabs>
        <w:ind w:left="450" w:hanging="450"/>
      </w:pPr>
      <w:r>
        <w:rPr>
          <w:b/>
        </w:rPr>
        <w:tab/>
      </w:r>
      <w:r w:rsidRPr="00391D45">
        <w:t xml:space="preserve">Under the block grant framework established in the CSBG Act, States have both the authority and the responsibility for effective oversight of eligible entities that receive CSBG funds. </w:t>
      </w:r>
      <w:r w:rsidR="00471801">
        <w:t xml:space="preserve"> </w:t>
      </w:r>
      <w:r w:rsidRPr="00391D45">
        <w:t>Section 678B of the CSBG Act (42 U.S.C. § 9914) requires State CSBG Lead Agencies to establish “performance goals, administrative standards, financial management requirements, and other requirements” that ensure an appropriate level of accountability and quality among the State’s eligible entities.</w:t>
      </w:r>
    </w:p>
    <w:p w:rsidR="00DD4E4A" w:rsidRDefault="00DD4E4A" w:rsidP="00391D45">
      <w:pPr>
        <w:tabs>
          <w:tab w:val="left" w:pos="450"/>
        </w:tabs>
        <w:ind w:left="450" w:hanging="450"/>
      </w:pPr>
    </w:p>
    <w:p w:rsidR="00DD4E4A" w:rsidRDefault="00DD4E4A" w:rsidP="00391D45">
      <w:pPr>
        <w:tabs>
          <w:tab w:val="left" w:pos="450"/>
        </w:tabs>
        <w:ind w:left="450" w:hanging="450"/>
        <w:rPr>
          <w:b/>
        </w:rPr>
      </w:pPr>
      <w:r w:rsidRPr="0069485E">
        <w:rPr>
          <w:b/>
        </w:rPr>
        <w:t xml:space="preserve">300. </w:t>
      </w:r>
      <w:r w:rsidR="00471801">
        <w:rPr>
          <w:b/>
        </w:rPr>
        <w:t xml:space="preserve">CENTER OF EXCELLENCE </w:t>
      </w:r>
      <w:r w:rsidR="0069485E">
        <w:rPr>
          <w:b/>
        </w:rPr>
        <w:t>DEVELOPED STANDARDS</w:t>
      </w:r>
    </w:p>
    <w:p w:rsidR="0069485E" w:rsidRDefault="0069485E" w:rsidP="00391D45">
      <w:pPr>
        <w:tabs>
          <w:tab w:val="left" w:pos="450"/>
        </w:tabs>
        <w:ind w:left="450" w:hanging="450"/>
      </w:pPr>
      <w:r w:rsidRPr="0069485E">
        <w:tab/>
        <w:t>The Washington State Department of Commerce CSBG Office</w:t>
      </w:r>
      <w:r w:rsidR="00F3344C">
        <w:t xml:space="preserve"> (the State CSBG Office)</w:t>
      </w:r>
      <w:r>
        <w:t xml:space="preserve"> has chosen to use the Center of Excellence </w:t>
      </w:r>
      <w:r w:rsidR="00471801">
        <w:t xml:space="preserve">(COE) </w:t>
      </w:r>
      <w:r>
        <w:t>developed Organizational Standards</w:t>
      </w:r>
      <w:r w:rsidR="00936E52">
        <w:t xml:space="preserve"> for oversight of Eligible Entities</w:t>
      </w:r>
      <w:r>
        <w:t xml:space="preserve">. The </w:t>
      </w:r>
      <w:r w:rsidR="00471801">
        <w:t xml:space="preserve">State CSBG </w:t>
      </w:r>
      <w:r>
        <w:t>Office recognizes these standards as a “</w:t>
      </w:r>
      <w:r w:rsidR="00936E52" w:rsidRPr="00936E52">
        <w:t xml:space="preserve">comprehensive set of organizational standards developed </w:t>
      </w:r>
      <w:r w:rsidR="00936E52" w:rsidRPr="00936E52">
        <w:rPr>
          <w:i/>
          <w:iCs/>
        </w:rPr>
        <w:t xml:space="preserve">by </w:t>
      </w:r>
      <w:r w:rsidR="00936E52" w:rsidRPr="00936E52">
        <w:t xml:space="preserve">the CSBG Network </w:t>
      </w:r>
      <w:r w:rsidR="00936E52" w:rsidRPr="00936E52">
        <w:rPr>
          <w:i/>
          <w:iCs/>
        </w:rPr>
        <w:t xml:space="preserve">for </w:t>
      </w:r>
      <w:r w:rsidR="00936E52" w:rsidRPr="00936E52">
        <w:t>the CSBG Network</w:t>
      </w:r>
      <w:r w:rsidR="00936E52">
        <w:t>”</w:t>
      </w:r>
      <w:r w:rsidR="00936E52">
        <w:rPr>
          <w:rStyle w:val="FootnoteReference"/>
        </w:rPr>
        <w:footnoteReference w:id="1"/>
      </w:r>
      <w:r w:rsidR="00936E52">
        <w:t xml:space="preserve"> and as such the most complete and appropriate tool. </w:t>
      </w:r>
    </w:p>
    <w:p w:rsidR="00936E52" w:rsidRDefault="00936E52" w:rsidP="00391D45">
      <w:pPr>
        <w:tabs>
          <w:tab w:val="left" w:pos="450"/>
        </w:tabs>
        <w:ind w:left="450" w:hanging="450"/>
      </w:pPr>
    </w:p>
    <w:p w:rsidR="00936E52" w:rsidRDefault="00936E52" w:rsidP="00391D45">
      <w:pPr>
        <w:tabs>
          <w:tab w:val="left" w:pos="450"/>
        </w:tabs>
        <w:ind w:left="450" w:hanging="450"/>
        <w:rPr>
          <w:b/>
        </w:rPr>
      </w:pPr>
      <w:r w:rsidRPr="00936E52">
        <w:rPr>
          <w:b/>
        </w:rPr>
        <w:t xml:space="preserve">400. </w:t>
      </w:r>
      <w:r w:rsidR="001A4A02">
        <w:rPr>
          <w:b/>
        </w:rPr>
        <w:t>REVIEW</w:t>
      </w:r>
      <w:r w:rsidRPr="00936E52">
        <w:rPr>
          <w:b/>
        </w:rPr>
        <w:t xml:space="preserve"> PROCEDURES</w:t>
      </w:r>
    </w:p>
    <w:p w:rsidR="001A4A02" w:rsidRDefault="00F3344C" w:rsidP="005A1345">
      <w:pPr>
        <w:tabs>
          <w:tab w:val="left" w:pos="450"/>
        </w:tabs>
        <w:ind w:left="450" w:hanging="450"/>
      </w:pPr>
      <w:r>
        <w:rPr>
          <w:b/>
        </w:rPr>
        <w:tab/>
      </w:r>
      <w:r>
        <w:t xml:space="preserve">The State CSBG Office will </w:t>
      </w:r>
      <w:r w:rsidR="001A4A02">
        <w:t>annually review</w:t>
      </w:r>
      <w:r>
        <w:t xml:space="preserve"> compliance with the Organizational Standards</w:t>
      </w:r>
      <w:r w:rsidR="001A4A02">
        <w:t xml:space="preserve"> via </w:t>
      </w:r>
      <w:r w:rsidR="00A9561D">
        <w:t xml:space="preserve">the E-Gov </w:t>
      </w:r>
      <w:r w:rsidR="001A4A02">
        <w:t>online assessment system</w:t>
      </w:r>
      <w:r w:rsidR="00747EE5">
        <w:t xml:space="preserve">. </w:t>
      </w:r>
      <w:r w:rsidR="00471801">
        <w:t xml:space="preserve"> </w:t>
      </w:r>
      <w:r w:rsidR="005A1345">
        <w:t xml:space="preserve">There are three points on the </w:t>
      </w:r>
      <w:r w:rsidR="00471801">
        <w:t xml:space="preserve">State CSBG Office </w:t>
      </w:r>
      <w:r w:rsidR="005A1345">
        <w:t xml:space="preserve">assessment review cycle. </w:t>
      </w:r>
      <w:r w:rsidR="00471801">
        <w:t xml:space="preserve"> </w:t>
      </w:r>
      <w:r w:rsidR="005A1345">
        <w:t>Each assessment is labeled according to point on cycle, content remains the same.</w:t>
      </w:r>
    </w:p>
    <w:p w:rsidR="0098373F" w:rsidRDefault="005A1345" w:rsidP="00391D45">
      <w:pPr>
        <w:tabs>
          <w:tab w:val="left" w:pos="450"/>
        </w:tabs>
        <w:ind w:left="450" w:hanging="450"/>
      </w:pPr>
      <w:r>
        <w:tab/>
        <w:t>All assessments</w:t>
      </w:r>
      <w:r w:rsidR="0098373F">
        <w:t xml:space="preserve"> referenced herein will be completed in the online </w:t>
      </w:r>
      <w:r w:rsidR="00471801">
        <w:t xml:space="preserve">E-Gov system </w:t>
      </w:r>
      <w:r w:rsidR="00516348">
        <w:t>with supporting documentation uploaded</w:t>
      </w:r>
      <w:r w:rsidR="00A9561D">
        <w:t xml:space="preserve"> electronically</w:t>
      </w:r>
      <w:r w:rsidR="00516348">
        <w:t xml:space="preserve">. </w:t>
      </w:r>
    </w:p>
    <w:p w:rsidR="006575DD" w:rsidRDefault="005A1345" w:rsidP="00391D45">
      <w:pPr>
        <w:tabs>
          <w:tab w:val="left" w:pos="450"/>
        </w:tabs>
        <w:ind w:left="450" w:hanging="450"/>
      </w:pPr>
      <w:r>
        <w:tab/>
        <w:t>All assessments</w:t>
      </w:r>
      <w:r w:rsidR="006575DD">
        <w:t xml:space="preserve"> occur on a three year cycle. See figure 1. </w:t>
      </w:r>
    </w:p>
    <w:p w:rsidR="006575DD" w:rsidRDefault="006C3B82" w:rsidP="00F94A71">
      <w:pPr>
        <w:keepNext/>
        <w:tabs>
          <w:tab w:val="left" w:pos="450"/>
        </w:tabs>
        <w:ind w:left="450" w:hanging="450"/>
        <w:jc w:val="center"/>
      </w:pPr>
      <w:r>
        <w:rPr>
          <w:noProof/>
        </w:rPr>
        <w:lastRenderedPageBreak/>
        <w:drawing>
          <wp:inline distT="0" distB="0" distL="0" distR="0" wp14:anchorId="37CA047B" wp14:editId="5C1AC237">
            <wp:extent cx="4821381" cy="2850078"/>
            <wp:effectExtent l="19050" t="19050" r="17780" b="266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0341A" w:rsidRDefault="006575DD" w:rsidP="00A9561D">
      <w:pPr>
        <w:pStyle w:val="Caption"/>
        <w:spacing w:after="0"/>
        <w:rPr>
          <w:b w:val="0"/>
          <w:color w:val="0D0D0D" w:themeColor="text1" w:themeTint="F2"/>
        </w:rPr>
      </w:pPr>
      <w:r w:rsidRPr="006575DD">
        <w:rPr>
          <w:b w:val="0"/>
          <w:color w:val="0D0D0D" w:themeColor="text1" w:themeTint="F2"/>
        </w:rPr>
        <w:t xml:space="preserve">Monitoring Cycle Figure </w:t>
      </w:r>
      <w:r w:rsidRPr="006575DD">
        <w:rPr>
          <w:b w:val="0"/>
          <w:color w:val="0D0D0D" w:themeColor="text1" w:themeTint="F2"/>
        </w:rPr>
        <w:fldChar w:fldCharType="begin"/>
      </w:r>
      <w:r w:rsidRPr="006575DD">
        <w:rPr>
          <w:b w:val="0"/>
          <w:color w:val="0D0D0D" w:themeColor="text1" w:themeTint="F2"/>
        </w:rPr>
        <w:instrText xml:space="preserve"> SEQ Monitoring_Cycle_Figure \* ARABIC </w:instrText>
      </w:r>
      <w:r w:rsidRPr="006575DD">
        <w:rPr>
          <w:b w:val="0"/>
          <w:color w:val="0D0D0D" w:themeColor="text1" w:themeTint="F2"/>
        </w:rPr>
        <w:fldChar w:fldCharType="separate"/>
      </w:r>
      <w:r w:rsidR="006C3B82">
        <w:rPr>
          <w:b w:val="0"/>
          <w:noProof/>
          <w:color w:val="0D0D0D" w:themeColor="text1" w:themeTint="F2"/>
        </w:rPr>
        <w:t>1</w:t>
      </w:r>
      <w:r w:rsidRPr="006575DD">
        <w:rPr>
          <w:b w:val="0"/>
          <w:color w:val="0D0D0D" w:themeColor="text1" w:themeTint="F2"/>
        </w:rPr>
        <w:fldChar w:fldCharType="end"/>
      </w:r>
    </w:p>
    <w:p w:rsidR="004D612E" w:rsidRPr="004D612E" w:rsidRDefault="004D612E" w:rsidP="004D612E"/>
    <w:p w:rsidR="00F3344C" w:rsidRDefault="0010341A" w:rsidP="00391D45">
      <w:pPr>
        <w:tabs>
          <w:tab w:val="left" w:pos="450"/>
        </w:tabs>
        <w:ind w:left="450" w:hanging="450"/>
        <w:rPr>
          <w:b/>
        </w:rPr>
      </w:pPr>
      <w:r>
        <w:tab/>
      </w:r>
      <w:r w:rsidR="00F3344C">
        <w:rPr>
          <w:b/>
        </w:rPr>
        <w:t xml:space="preserve">410. </w:t>
      </w:r>
      <w:r w:rsidR="00202FB4">
        <w:rPr>
          <w:b/>
        </w:rPr>
        <w:t xml:space="preserve">A-1 </w:t>
      </w:r>
      <w:r w:rsidR="004C2199">
        <w:rPr>
          <w:b/>
        </w:rPr>
        <w:t xml:space="preserve">OS </w:t>
      </w:r>
      <w:r w:rsidR="00F3344C">
        <w:rPr>
          <w:b/>
        </w:rPr>
        <w:t>Pre</w:t>
      </w:r>
      <w:r w:rsidR="0098373F">
        <w:rPr>
          <w:b/>
        </w:rPr>
        <w:t xml:space="preserve"> On-Site</w:t>
      </w:r>
      <w:r w:rsidR="00F3344C">
        <w:rPr>
          <w:b/>
        </w:rPr>
        <w:t xml:space="preserve"> Assessment</w:t>
      </w:r>
      <w:r w:rsidR="00747EE5">
        <w:rPr>
          <w:b/>
        </w:rPr>
        <w:t xml:space="preserve"> – </w:t>
      </w:r>
      <w:r w:rsidR="00747EE5" w:rsidRPr="00747EE5">
        <w:t xml:space="preserve">Pre </w:t>
      </w:r>
      <w:r w:rsidR="0098373F">
        <w:t xml:space="preserve">On-Site </w:t>
      </w:r>
      <w:r w:rsidR="00747EE5" w:rsidRPr="00747EE5">
        <w:t xml:space="preserve">Assessments will be conducted </w:t>
      </w:r>
      <w:r w:rsidR="004C2199">
        <w:t>prior to</w:t>
      </w:r>
      <w:r w:rsidR="0098373F">
        <w:t xml:space="preserve"> </w:t>
      </w:r>
      <w:r w:rsidR="00471801">
        <w:t xml:space="preserve">CSBG regular </w:t>
      </w:r>
      <w:r w:rsidR="0098373F">
        <w:t>on-site monitoring</w:t>
      </w:r>
      <w:r w:rsidR="00747EE5">
        <w:t xml:space="preserve">. </w:t>
      </w:r>
      <w:r w:rsidR="00471801">
        <w:t xml:space="preserve"> </w:t>
      </w:r>
      <w:r w:rsidR="00516348">
        <w:t xml:space="preserve">All supporting documentation </w:t>
      </w:r>
      <w:r w:rsidR="0098373F">
        <w:t xml:space="preserve">will be reviewed by </w:t>
      </w:r>
      <w:r w:rsidR="00471801">
        <w:t xml:space="preserve">CSBG State Office staff </w:t>
      </w:r>
      <w:r w:rsidR="0098373F">
        <w:t xml:space="preserve">for compliance. </w:t>
      </w:r>
      <w:r w:rsidR="00471801">
        <w:t xml:space="preserve"> </w:t>
      </w:r>
      <w:r w:rsidR="0098373F">
        <w:t xml:space="preserve">Any needed follow up will take place via the online system and </w:t>
      </w:r>
      <w:r w:rsidR="004C2199">
        <w:t xml:space="preserve">if needed </w:t>
      </w:r>
      <w:r w:rsidR="0098373F">
        <w:t xml:space="preserve">when on-site. </w:t>
      </w:r>
    </w:p>
    <w:p w:rsidR="00516348" w:rsidRDefault="0098373F" w:rsidP="00391D45">
      <w:pPr>
        <w:tabs>
          <w:tab w:val="left" w:pos="450"/>
        </w:tabs>
        <w:ind w:left="450" w:hanging="450"/>
      </w:pPr>
      <w:r>
        <w:rPr>
          <w:b/>
        </w:rPr>
        <w:tab/>
        <w:t xml:space="preserve">420. </w:t>
      </w:r>
      <w:r w:rsidR="00202FB4">
        <w:rPr>
          <w:b/>
        </w:rPr>
        <w:t xml:space="preserve">A-2 </w:t>
      </w:r>
      <w:r w:rsidR="004C2199">
        <w:rPr>
          <w:b/>
        </w:rPr>
        <w:t xml:space="preserve">OS </w:t>
      </w:r>
      <w:r>
        <w:rPr>
          <w:b/>
        </w:rPr>
        <w:t xml:space="preserve">Risk </w:t>
      </w:r>
      <w:r w:rsidR="004C2199">
        <w:rPr>
          <w:b/>
        </w:rPr>
        <w:t xml:space="preserve">Determined </w:t>
      </w:r>
      <w:r w:rsidR="0052059A">
        <w:rPr>
          <w:b/>
        </w:rPr>
        <w:t>Desk Audit</w:t>
      </w:r>
      <w:r>
        <w:rPr>
          <w:b/>
        </w:rPr>
        <w:t xml:space="preserve"> –</w:t>
      </w:r>
      <w:r w:rsidR="00516348">
        <w:rPr>
          <w:b/>
        </w:rPr>
        <w:t xml:space="preserve"> </w:t>
      </w:r>
      <w:r w:rsidR="00516348" w:rsidRPr="00516348">
        <w:t>The</w:t>
      </w:r>
      <w:r w:rsidR="00516348">
        <w:rPr>
          <w:b/>
        </w:rPr>
        <w:t xml:space="preserve"> </w:t>
      </w:r>
      <w:r w:rsidR="00516348">
        <w:t xml:space="preserve">Risk Assessment Desk Audit will occur the year following on-site monitoring. </w:t>
      </w:r>
      <w:r w:rsidR="00471801">
        <w:t xml:space="preserve"> </w:t>
      </w:r>
      <w:r w:rsidR="00877725">
        <w:t>This</w:t>
      </w:r>
      <w:r>
        <w:t xml:space="preserve"> </w:t>
      </w:r>
      <w:r w:rsidR="00877725">
        <w:t>audit</w:t>
      </w:r>
      <w:r>
        <w:t xml:space="preserve"> will be rev</w:t>
      </w:r>
      <w:r w:rsidR="00516348">
        <w:t>iewed for Met/Not Met responses</w:t>
      </w:r>
      <w:r w:rsidR="00471801">
        <w:t xml:space="preserve"> from the previous year</w:t>
      </w:r>
      <w:r w:rsidR="00516348">
        <w:t>.</w:t>
      </w:r>
      <w:r w:rsidR="00471801">
        <w:t xml:space="preserve"> </w:t>
      </w:r>
      <w:r w:rsidR="00516348">
        <w:t xml:space="preserve"> The C</w:t>
      </w:r>
      <w:r w:rsidR="00471801">
        <w:t xml:space="preserve">SBG State Office Risk </w:t>
      </w:r>
      <w:r w:rsidR="00516348">
        <w:t xml:space="preserve">Assessment </w:t>
      </w:r>
      <w:r w:rsidR="00471801">
        <w:t xml:space="preserve">Desk Audit </w:t>
      </w:r>
      <w:r w:rsidR="00516348">
        <w:t xml:space="preserve">will inform whether </w:t>
      </w:r>
      <w:r w:rsidR="00877725">
        <w:t>individual</w:t>
      </w:r>
      <w:r w:rsidR="00516348">
        <w:t xml:space="preserve"> supporting document</w:t>
      </w:r>
      <w:r w:rsidR="00877725">
        <w:t>s</w:t>
      </w:r>
      <w:r w:rsidR="00516348">
        <w:t xml:space="preserve"> must be </w:t>
      </w:r>
      <w:r w:rsidR="00877725">
        <w:t xml:space="preserve">further </w:t>
      </w:r>
      <w:r w:rsidR="00516348">
        <w:t xml:space="preserve">reviewed for compliance. </w:t>
      </w:r>
    </w:p>
    <w:p w:rsidR="00F3344C" w:rsidRPr="00516348" w:rsidRDefault="00F3344C" w:rsidP="00391D45">
      <w:pPr>
        <w:tabs>
          <w:tab w:val="left" w:pos="450"/>
        </w:tabs>
        <w:ind w:left="450" w:hanging="450"/>
      </w:pPr>
      <w:r>
        <w:rPr>
          <w:b/>
        </w:rPr>
        <w:tab/>
        <w:t>430.</w:t>
      </w:r>
      <w:r w:rsidR="004C2199">
        <w:rPr>
          <w:b/>
        </w:rPr>
        <w:t xml:space="preserve"> </w:t>
      </w:r>
      <w:r w:rsidR="00202FB4">
        <w:rPr>
          <w:b/>
        </w:rPr>
        <w:t xml:space="preserve">A-3 </w:t>
      </w:r>
      <w:r w:rsidR="004C2199">
        <w:rPr>
          <w:b/>
        </w:rPr>
        <w:t>OS</w:t>
      </w:r>
      <w:r>
        <w:rPr>
          <w:b/>
        </w:rPr>
        <w:t xml:space="preserve"> Desk </w:t>
      </w:r>
      <w:r w:rsidR="0098373F">
        <w:rPr>
          <w:b/>
        </w:rPr>
        <w:t>Audit</w:t>
      </w:r>
      <w:r w:rsidR="005A1345">
        <w:rPr>
          <w:b/>
        </w:rPr>
        <w:t xml:space="preserve"> Assessment</w:t>
      </w:r>
      <w:r w:rsidR="00516348">
        <w:rPr>
          <w:b/>
        </w:rPr>
        <w:t xml:space="preserve"> </w:t>
      </w:r>
      <w:r w:rsidR="00516348">
        <w:t xml:space="preserve">– Desk Audits occur the </w:t>
      </w:r>
      <w:r w:rsidR="00877725">
        <w:t xml:space="preserve">year </w:t>
      </w:r>
      <w:r w:rsidR="00516348">
        <w:t xml:space="preserve">prior to </w:t>
      </w:r>
      <w:r w:rsidR="00471801">
        <w:t xml:space="preserve">any CSBG regular </w:t>
      </w:r>
      <w:r w:rsidR="00516348">
        <w:t>on-site monitoring</w:t>
      </w:r>
      <w:r w:rsidR="002E5B8B">
        <w:t>.</w:t>
      </w:r>
      <w:r w:rsidR="00516348">
        <w:t xml:space="preserve"> </w:t>
      </w:r>
      <w:r w:rsidR="00471801">
        <w:t xml:space="preserve"> </w:t>
      </w:r>
      <w:r w:rsidR="004D612E">
        <w:t xml:space="preserve">All supporting documentation will be reviewed by Commerce </w:t>
      </w:r>
      <w:r w:rsidR="00471801">
        <w:t xml:space="preserve">staff </w:t>
      </w:r>
      <w:r w:rsidR="004D612E">
        <w:t xml:space="preserve">for compliance. </w:t>
      </w:r>
    </w:p>
    <w:p w:rsidR="00F3344C" w:rsidRDefault="00F3344C" w:rsidP="00391D45">
      <w:pPr>
        <w:tabs>
          <w:tab w:val="left" w:pos="450"/>
        </w:tabs>
        <w:ind w:left="450" w:hanging="450"/>
      </w:pPr>
    </w:p>
    <w:p w:rsidR="00F3344C" w:rsidRDefault="00F3344C" w:rsidP="00391D45">
      <w:pPr>
        <w:tabs>
          <w:tab w:val="left" w:pos="450"/>
        </w:tabs>
        <w:ind w:left="450" w:hanging="450"/>
        <w:rPr>
          <w:b/>
        </w:rPr>
      </w:pPr>
      <w:r w:rsidRPr="00F3344C">
        <w:rPr>
          <w:b/>
        </w:rPr>
        <w:t xml:space="preserve">500. </w:t>
      </w:r>
      <w:r w:rsidR="001A4A02">
        <w:rPr>
          <w:b/>
        </w:rPr>
        <w:t>UNMET STANDARDS</w:t>
      </w:r>
      <w:r w:rsidR="002E5B8B">
        <w:rPr>
          <w:b/>
        </w:rPr>
        <w:t xml:space="preserve"> </w:t>
      </w:r>
    </w:p>
    <w:p w:rsidR="006D5F2D" w:rsidRDefault="002E5B8B" w:rsidP="00391D45">
      <w:pPr>
        <w:tabs>
          <w:tab w:val="left" w:pos="450"/>
        </w:tabs>
        <w:ind w:left="450" w:hanging="450"/>
      </w:pPr>
      <w:r>
        <w:rPr>
          <w:b/>
        </w:rPr>
        <w:tab/>
      </w:r>
      <w:r w:rsidR="00703226">
        <w:t xml:space="preserve">“If a State finds an eligible entity is not meeting a standard or set of standards, the State’s response will depend on the circumstances. In cases where the eligible entity may be able to meet the standard in a reasonable time frame contingent on some targeted technical assistance, the State and entity may develop a technical assistance plan to target training and technical assistance resources and outline a time frame for the entity to meet the standards. </w:t>
      </w:r>
      <w:r w:rsidR="00471801">
        <w:t xml:space="preserve"> </w:t>
      </w:r>
      <w:r w:rsidR="00703226">
        <w:t>If appropriate</w:t>
      </w:r>
      <w:r w:rsidR="00471801">
        <w:t xml:space="preserve">, </w:t>
      </w:r>
      <w:r w:rsidR="00703226">
        <w:t xml:space="preserve">in other situations, the State may initiate action in accordance with section 678C of the CSBG Act (42 U.S.C. </w:t>
      </w:r>
      <w:r w:rsidR="00703226">
        <w:lastRenderedPageBreak/>
        <w:t>§9915), including the establishment of a Quality Improvement Plan (QIP) with clear timelines and benchmarks for progress</w:t>
      </w:r>
      <w:r w:rsidR="00CE6859">
        <w:t>.”</w:t>
      </w:r>
      <w:r w:rsidR="00CE6859">
        <w:rPr>
          <w:rStyle w:val="FootnoteReference"/>
        </w:rPr>
        <w:footnoteReference w:id="2"/>
      </w:r>
      <w:r w:rsidR="00CE6859">
        <w:t xml:space="preserve"> </w:t>
      </w:r>
    </w:p>
    <w:p w:rsidR="00F3344C" w:rsidRPr="00C816E1" w:rsidRDefault="006D5F2D" w:rsidP="00391D45">
      <w:pPr>
        <w:tabs>
          <w:tab w:val="left" w:pos="450"/>
        </w:tabs>
        <w:ind w:left="450" w:hanging="450"/>
      </w:pPr>
      <w:r>
        <w:tab/>
      </w:r>
      <w:r>
        <w:rPr>
          <w:b/>
        </w:rPr>
        <w:t xml:space="preserve">510. Technical Assistance Plan (TAP) - </w:t>
      </w:r>
      <w:r w:rsidR="00B83DD7">
        <w:t xml:space="preserve">IM 138 requires a TAP to be developed in situations where </w:t>
      </w:r>
      <w:r w:rsidR="00A9561D">
        <w:t>eligible entities or Community Action Agencies (CAA’s)</w:t>
      </w:r>
      <w:r w:rsidR="00B83DD7">
        <w:t xml:space="preserve"> are not meeting CSBG Organizatio</w:t>
      </w:r>
      <w:r w:rsidR="00741D2F">
        <w:t xml:space="preserve">nal Standards. </w:t>
      </w:r>
      <w:r w:rsidR="00A9561D">
        <w:t xml:space="preserve"> </w:t>
      </w:r>
      <w:r w:rsidR="00741D2F">
        <w:t xml:space="preserve">A TAP must </w:t>
      </w:r>
      <w:r w:rsidR="00C816E1">
        <w:t>include</w:t>
      </w:r>
      <w:r w:rsidR="00C816E1" w:rsidRPr="00C816E1">
        <w:t>:</w:t>
      </w:r>
    </w:p>
    <w:p w:rsidR="00C816E1" w:rsidRPr="00C816E1" w:rsidRDefault="00A9561D" w:rsidP="00C816E1">
      <w:pPr>
        <w:pStyle w:val="ListParagraph"/>
        <w:numPr>
          <w:ilvl w:val="0"/>
          <w:numId w:val="2"/>
        </w:numPr>
        <w:tabs>
          <w:tab w:val="left" w:pos="450"/>
        </w:tabs>
      </w:pPr>
      <w:r>
        <w:t xml:space="preserve">CAA </w:t>
      </w:r>
      <w:r w:rsidR="00C816E1" w:rsidRPr="00C816E1">
        <w:t>name</w:t>
      </w:r>
    </w:p>
    <w:p w:rsidR="00C816E1" w:rsidRPr="00C816E1" w:rsidRDefault="00471801" w:rsidP="00C816E1">
      <w:pPr>
        <w:pStyle w:val="ListParagraph"/>
        <w:numPr>
          <w:ilvl w:val="0"/>
          <w:numId w:val="2"/>
        </w:numPr>
        <w:tabs>
          <w:tab w:val="left" w:pos="450"/>
        </w:tabs>
      </w:pPr>
      <w:r>
        <w:t>CSBG State Office m</w:t>
      </w:r>
      <w:r w:rsidR="00C816E1" w:rsidRPr="00C816E1">
        <w:t>onitor</w:t>
      </w:r>
      <w:r>
        <w:t>’s</w:t>
      </w:r>
      <w:r w:rsidR="00C816E1" w:rsidRPr="00C816E1">
        <w:t xml:space="preserve"> name</w:t>
      </w:r>
    </w:p>
    <w:p w:rsidR="00C816E1" w:rsidRPr="00C816E1" w:rsidRDefault="00C816E1" w:rsidP="00C816E1">
      <w:pPr>
        <w:pStyle w:val="ListParagraph"/>
        <w:numPr>
          <w:ilvl w:val="0"/>
          <w:numId w:val="2"/>
        </w:numPr>
        <w:tabs>
          <w:tab w:val="left" w:pos="450"/>
        </w:tabs>
      </w:pPr>
      <w:r w:rsidRPr="00C816E1">
        <w:t>Date form completed</w:t>
      </w:r>
    </w:p>
    <w:p w:rsidR="00C816E1" w:rsidRPr="00C816E1" w:rsidRDefault="00C816E1" w:rsidP="00C816E1">
      <w:pPr>
        <w:pStyle w:val="ListParagraph"/>
        <w:numPr>
          <w:ilvl w:val="0"/>
          <w:numId w:val="2"/>
        </w:numPr>
        <w:tabs>
          <w:tab w:val="left" w:pos="450"/>
        </w:tabs>
      </w:pPr>
      <w:r w:rsidRPr="00C816E1">
        <w:t>The specific standard number</w:t>
      </w:r>
    </w:p>
    <w:p w:rsidR="00C816E1" w:rsidRPr="00C816E1" w:rsidRDefault="00C816E1" w:rsidP="00C816E1">
      <w:pPr>
        <w:pStyle w:val="ListParagraph"/>
        <w:numPr>
          <w:ilvl w:val="0"/>
          <w:numId w:val="2"/>
        </w:numPr>
        <w:tabs>
          <w:tab w:val="left" w:pos="450"/>
        </w:tabs>
      </w:pPr>
      <w:r w:rsidRPr="00C816E1">
        <w:t xml:space="preserve">Performance improvement deliverable </w:t>
      </w:r>
    </w:p>
    <w:p w:rsidR="00C816E1" w:rsidRPr="00C816E1" w:rsidRDefault="00C816E1" w:rsidP="00C816E1">
      <w:pPr>
        <w:pStyle w:val="ListParagraph"/>
        <w:numPr>
          <w:ilvl w:val="0"/>
          <w:numId w:val="2"/>
        </w:numPr>
        <w:tabs>
          <w:tab w:val="left" w:pos="450"/>
        </w:tabs>
      </w:pPr>
      <w:r w:rsidRPr="00C816E1">
        <w:t>Deliverable deadline</w:t>
      </w:r>
    </w:p>
    <w:p w:rsidR="00C816E1" w:rsidRPr="00C816E1" w:rsidRDefault="00C816E1" w:rsidP="00C816E1">
      <w:pPr>
        <w:pStyle w:val="ListParagraph"/>
        <w:numPr>
          <w:ilvl w:val="0"/>
          <w:numId w:val="2"/>
        </w:numPr>
        <w:tabs>
          <w:tab w:val="left" w:pos="450"/>
        </w:tabs>
      </w:pPr>
      <w:r w:rsidRPr="00C816E1">
        <w:t>Person responsible</w:t>
      </w:r>
      <w:r w:rsidR="00471801">
        <w:t xml:space="preserve"> at CAA</w:t>
      </w:r>
    </w:p>
    <w:p w:rsidR="00C816E1" w:rsidRPr="00C816E1" w:rsidRDefault="00C816E1" w:rsidP="00C816E1">
      <w:pPr>
        <w:pStyle w:val="ListParagraph"/>
        <w:numPr>
          <w:ilvl w:val="0"/>
          <w:numId w:val="2"/>
        </w:numPr>
        <w:tabs>
          <w:tab w:val="left" w:pos="450"/>
        </w:tabs>
      </w:pPr>
      <w:r w:rsidRPr="00C816E1">
        <w:t>Review dates</w:t>
      </w:r>
    </w:p>
    <w:p w:rsidR="00C816E1" w:rsidRPr="00C816E1" w:rsidRDefault="00C816E1" w:rsidP="00C816E1">
      <w:pPr>
        <w:pStyle w:val="ListParagraph"/>
        <w:numPr>
          <w:ilvl w:val="0"/>
          <w:numId w:val="2"/>
        </w:numPr>
        <w:tabs>
          <w:tab w:val="left" w:pos="450"/>
        </w:tabs>
      </w:pPr>
      <w:r w:rsidRPr="00C816E1">
        <w:t>Previous actions take</w:t>
      </w:r>
      <w:r w:rsidR="00471801">
        <w:t>n (if applicable)</w:t>
      </w:r>
    </w:p>
    <w:p w:rsidR="00C816E1" w:rsidRDefault="00C816E1" w:rsidP="00C816E1">
      <w:pPr>
        <w:pStyle w:val="ListParagraph"/>
        <w:numPr>
          <w:ilvl w:val="0"/>
          <w:numId w:val="2"/>
        </w:numPr>
        <w:tabs>
          <w:tab w:val="left" w:pos="450"/>
        </w:tabs>
      </w:pPr>
      <w:r w:rsidRPr="00C816E1">
        <w:t>Action status</w:t>
      </w:r>
    </w:p>
    <w:p w:rsidR="001D5B26" w:rsidRDefault="001D5B26" w:rsidP="001D5B26">
      <w:pPr>
        <w:pStyle w:val="ListParagraph"/>
        <w:tabs>
          <w:tab w:val="left" w:pos="450"/>
        </w:tabs>
        <w:ind w:left="2520"/>
      </w:pPr>
    </w:p>
    <w:p w:rsidR="001D5B26" w:rsidRDefault="001D5B26" w:rsidP="001D5B26">
      <w:pPr>
        <w:tabs>
          <w:tab w:val="left" w:pos="450"/>
        </w:tabs>
        <w:ind w:left="720"/>
      </w:pPr>
      <w:r w:rsidRPr="001D5B26">
        <w:rPr>
          <w:b/>
        </w:rPr>
        <w:t>(A)</w:t>
      </w:r>
      <w:r>
        <w:t xml:space="preserve"> A TAP may be modified at the CAAs request and the</w:t>
      </w:r>
      <w:r w:rsidR="00471801">
        <w:t xml:space="preserve"> CSBG State Office </w:t>
      </w:r>
      <w:r>
        <w:t xml:space="preserve">discretion at review dates. </w:t>
      </w:r>
    </w:p>
    <w:p w:rsidR="001D5B26" w:rsidRDefault="001D5B26" w:rsidP="001D5B26">
      <w:pPr>
        <w:tabs>
          <w:tab w:val="left" w:pos="450"/>
        </w:tabs>
        <w:ind w:left="720"/>
      </w:pPr>
      <w:r w:rsidRPr="001D5B26">
        <w:rPr>
          <w:b/>
        </w:rPr>
        <w:t>(B)</w:t>
      </w:r>
      <w:r>
        <w:t xml:space="preserve"> </w:t>
      </w:r>
      <w:r w:rsidR="00867178">
        <w:t>If</w:t>
      </w:r>
      <w:r>
        <w:t xml:space="preserve"> a CAA fail</w:t>
      </w:r>
      <w:r w:rsidR="001A4A02">
        <w:t>s</w:t>
      </w:r>
      <w:r>
        <w:t xml:space="preserve"> to make a good faith effort to meet TAP deliverables within </w:t>
      </w:r>
      <w:r w:rsidR="00471801">
        <w:t xml:space="preserve">the </w:t>
      </w:r>
      <w:r>
        <w:t>approved timeframe</w:t>
      </w:r>
      <w:r w:rsidR="00471801">
        <w:t>, the</w:t>
      </w:r>
      <w:r>
        <w:t xml:space="preserve"> CAA will be</w:t>
      </w:r>
      <w:r w:rsidR="00867178">
        <w:t xml:space="preserve"> informed of a deficiency and</w:t>
      </w:r>
      <w:r>
        <w:t xml:space="preserve"> considered noncompliant. </w:t>
      </w:r>
    </w:p>
    <w:p w:rsidR="00621148" w:rsidRDefault="00621148" w:rsidP="004C0ADB">
      <w:pPr>
        <w:tabs>
          <w:tab w:val="left" w:pos="450"/>
        </w:tabs>
        <w:ind w:left="450"/>
      </w:pPr>
      <w:r w:rsidRPr="00327BD3">
        <w:rPr>
          <w:b/>
        </w:rPr>
        <w:t>520.</w:t>
      </w:r>
      <w:r>
        <w:t xml:space="preserve"> </w:t>
      </w:r>
      <w:r w:rsidRPr="006A21C4">
        <w:rPr>
          <w:b/>
        </w:rPr>
        <w:t>Quality Improvement Plan (QIP)</w:t>
      </w:r>
      <w:r>
        <w:t xml:space="preserve"> </w:t>
      </w:r>
      <w:r w:rsidR="006A21C4">
        <w:t>–</w:t>
      </w:r>
      <w:r>
        <w:t xml:space="preserve"> </w:t>
      </w:r>
      <w:r w:rsidR="006A21C4">
        <w:t xml:space="preserve">A </w:t>
      </w:r>
      <w:r w:rsidR="004C0ADB">
        <w:t xml:space="preserve">QIP must be developed and implemented by </w:t>
      </w:r>
      <w:r w:rsidR="00867178">
        <w:t>a</w:t>
      </w:r>
      <w:r w:rsidR="004C0ADB">
        <w:t xml:space="preserve"> noncompliant agency within 60 days </w:t>
      </w:r>
      <w:r w:rsidR="00867178">
        <w:t>of being informed of</w:t>
      </w:r>
      <w:r w:rsidR="001A4A02">
        <w:t xml:space="preserve"> a deficiency</w:t>
      </w:r>
      <w:r w:rsidR="004C0ADB">
        <w:t>.</w:t>
      </w:r>
      <w:r w:rsidR="00471801">
        <w:t xml:space="preserve"> The CSBG State Office </w:t>
      </w:r>
      <w:r w:rsidR="004C0ADB">
        <w:t xml:space="preserve">shall approve or deny QIP </w:t>
      </w:r>
      <w:r w:rsidR="00471801">
        <w:t xml:space="preserve">responses from CAA’s </w:t>
      </w:r>
      <w:r w:rsidR="001A4A02">
        <w:t>within 30 days of receipt</w:t>
      </w:r>
      <w:r w:rsidR="004C0ADB">
        <w:t>.</w:t>
      </w:r>
      <w:r w:rsidR="004C0ADB">
        <w:rPr>
          <w:rStyle w:val="FootnoteReference"/>
        </w:rPr>
        <w:footnoteReference w:id="3"/>
      </w:r>
      <w:r w:rsidR="002E522A">
        <w:t xml:space="preserve"> </w:t>
      </w:r>
      <w:r w:rsidR="00423531">
        <w:t>A QIP must include the following:</w:t>
      </w:r>
    </w:p>
    <w:p w:rsidR="00423531" w:rsidRPr="00C816E1" w:rsidRDefault="00A9561D" w:rsidP="00423531">
      <w:pPr>
        <w:pStyle w:val="ListParagraph"/>
        <w:numPr>
          <w:ilvl w:val="0"/>
          <w:numId w:val="5"/>
        </w:numPr>
        <w:tabs>
          <w:tab w:val="left" w:pos="450"/>
        </w:tabs>
      </w:pPr>
      <w:r>
        <w:t>CAA</w:t>
      </w:r>
      <w:r w:rsidR="00423531" w:rsidRPr="00C816E1">
        <w:t xml:space="preserve"> name</w:t>
      </w:r>
    </w:p>
    <w:p w:rsidR="00471801" w:rsidRDefault="00471801" w:rsidP="00423531">
      <w:pPr>
        <w:pStyle w:val="ListParagraph"/>
        <w:numPr>
          <w:ilvl w:val="0"/>
          <w:numId w:val="5"/>
        </w:numPr>
        <w:tabs>
          <w:tab w:val="left" w:pos="450"/>
        </w:tabs>
      </w:pPr>
      <w:r>
        <w:t>CSBG State Office m</w:t>
      </w:r>
      <w:r w:rsidRPr="00C816E1">
        <w:t>onitor</w:t>
      </w:r>
      <w:r>
        <w:t>’s</w:t>
      </w:r>
      <w:r w:rsidRPr="00C816E1">
        <w:t xml:space="preserve"> name </w:t>
      </w:r>
    </w:p>
    <w:p w:rsidR="00423531" w:rsidRPr="00C816E1" w:rsidRDefault="00423531" w:rsidP="00423531">
      <w:pPr>
        <w:pStyle w:val="ListParagraph"/>
        <w:numPr>
          <w:ilvl w:val="0"/>
          <w:numId w:val="5"/>
        </w:numPr>
        <w:tabs>
          <w:tab w:val="left" w:pos="450"/>
        </w:tabs>
      </w:pPr>
      <w:r w:rsidRPr="00C816E1">
        <w:t>Date form completed</w:t>
      </w:r>
    </w:p>
    <w:p w:rsidR="00423531" w:rsidRPr="00C816E1" w:rsidRDefault="00423531" w:rsidP="00423531">
      <w:pPr>
        <w:pStyle w:val="ListParagraph"/>
        <w:numPr>
          <w:ilvl w:val="0"/>
          <w:numId w:val="5"/>
        </w:numPr>
        <w:tabs>
          <w:tab w:val="left" w:pos="450"/>
        </w:tabs>
      </w:pPr>
      <w:r w:rsidRPr="00C816E1">
        <w:t>The specific standard number</w:t>
      </w:r>
    </w:p>
    <w:p w:rsidR="00423531" w:rsidRPr="00C816E1" w:rsidRDefault="00423531" w:rsidP="00423531">
      <w:pPr>
        <w:pStyle w:val="ListParagraph"/>
        <w:numPr>
          <w:ilvl w:val="0"/>
          <w:numId w:val="5"/>
        </w:numPr>
        <w:tabs>
          <w:tab w:val="left" w:pos="450"/>
        </w:tabs>
      </w:pPr>
      <w:r w:rsidRPr="00C816E1">
        <w:t xml:space="preserve">Performance improvement deliverable </w:t>
      </w:r>
    </w:p>
    <w:p w:rsidR="00423531" w:rsidRPr="00C816E1" w:rsidRDefault="00423531" w:rsidP="00423531">
      <w:pPr>
        <w:pStyle w:val="ListParagraph"/>
        <w:numPr>
          <w:ilvl w:val="0"/>
          <w:numId w:val="5"/>
        </w:numPr>
        <w:tabs>
          <w:tab w:val="left" w:pos="450"/>
        </w:tabs>
      </w:pPr>
      <w:r w:rsidRPr="00C816E1">
        <w:t>Deliverable deadline</w:t>
      </w:r>
    </w:p>
    <w:p w:rsidR="00423531" w:rsidRPr="00C816E1" w:rsidRDefault="00423531" w:rsidP="00423531">
      <w:pPr>
        <w:pStyle w:val="ListParagraph"/>
        <w:numPr>
          <w:ilvl w:val="0"/>
          <w:numId w:val="5"/>
        </w:numPr>
        <w:tabs>
          <w:tab w:val="left" w:pos="450"/>
        </w:tabs>
      </w:pPr>
      <w:r w:rsidRPr="00C816E1">
        <w:t>Person responsible</w:t>
      </w:r>
      <w:r w:rsidR="00471801">
        <w:t xml:space="preserve"> at CAA</w:t>
      </w:r>
    </w:p>
    <w:p w:rsidR="00423531" w:rsidRPr="00C816E1" w:rsidRDefault="00423531" w:rsidP="00423531">
      <w:pPr>
        <w:pStyle w:val="ListParagraph"/>
        <w:numPr>
          <w:ilvl w:val="0"/>
          <w:numId w:val="5"/>
        </w:numPr>
        <w:tabs>
          <w:tab w:val="left" w:pos="450"/>
        </w:tabs>
      </w:pPr>
      <w:r w:rsidRPr="00C816E1">
        <w:t>Review dates</w:t>
      </w:r>
    </w:p>
    <w:p w:rsidR="00423531" w:rsidRPr="00C816E1" w:rsidRDefault="00423531" w:rsidP="00423531">
      <w:pPr>
        <w:pStyle w:val="ListParagraph"/>
        <w:numPr>
          <w:ilvl w:val="0"/>
          <w:numId w:val="5"/>
        </w:numPr>
        <w:tabs>
          <w:tab w:val="left" w:pos="450"/>
        </w:tabs>
      </w:pPr>
      <w:r w:rsidRPr="00C816E1">
        <w:t>Previous actions take</w:t>
      </w:r>
      <w:r w:rsidR="00471801">
        <w:t>n (TAP, etc.)</w:t>
      </w:r>
    </w:p>
    <w:p w:rsidR="00423531" w:rsidRDefault="00423531" w:rsidP="00423531">
      <w:pPr>
        <w:pStyle w:val="ListParagraph"/>
        <w:numPr>
          <w:ilvl w:val="0"/>
          <w:numId w:val="5"/>
        </w:numPr>
        <w:tabs>
          <w:tab w:val="left" w:pos="450"/>
        </w:tabs>
      </w:pPr>
      <w:r w:rsidRPr="00C816E1">
        <w:t>Action status</w:t>
      </w:r>
    </w:p>
    <w:p w:rsidR="00423531" w:rsidRPr="00327BD3" w:rsidRDefault="00327BD3" w:rsidP="00327BD3">
      <w:pPr>
        <w:tabs>
          <w:tab w:val="left" w:pos="450"/>
        </w:tabs>
        <w:ind w:left="720"/>
      </w:pPr>
      <w:r w:rsidRPr="00327BD3">
        <w:rPr>
          <w:b/>
        </w:rPr>
        <w:lastRenderedPageBreak/>
        <w:t xml:space="preserve">530. </w:t>
      </w:r>
      <w:r>
        <w:rPr>
          <w:b/>
        </w:rPr>
        <w:t xml:space="preserve">IM 116 Corrective Action, Termination, or Reduction in Funding – </w:t>
      </w:r>
      <w:r>
        <w:t xml:space="preserve">If a CAA fails to come into compliance through a TAP followed by a QIP the State </w:t>
      </w:r>
      <w:r w:rsidR="00471801">
        <w:t xml:space="preserve">CSBG </w:t>
      </w:r>
      <w:r>
        <w:t xml:space="preserve">Office may pursue a reduction in or termination of funding. </w:t>
      </w:r>
      <w:r w:rsidR="00867178">
        <w:t>If</w:t>
      </w:r>
      <w:r>
        <w:t xml:space="preserve"> the </w:t>
      </w:r>
      <w:r w:rsidR="002B2B74">
        <w:t>State pursue</w:t>
      </w:r>
      <w:r w:rsidR="00867178">
        <w:t>s</w:t>
      </w:r>
      <w:r w:rsidR="002B2B74">
        <w:t xml:space="preserve"> this it is required to follow IM 116’s </w:t>
      </w:r>
      <w:r w:rsidR="00867178">
        <w:t>direction.</w:t>
      </w:r>
      <w:r w:rsidR="00471801">
        <w:t xml:space="preserve"> </w:t>
      </w:r>
      <w:r w:rsidR="00867178">
        <w:t xml:space="preserve"> See link to IM 116 at footnote.</w:t>
      </w:r>
      <w:r w:rsidR="00867178">
        <w:rPr>
          <w:rStyle w:val="FootnoteReference"/>
        </w:rPr>
        <w:footnoteReference w:id="4"/>
      </w:r>
    </w:p>
    <w:sectPr w:rsidR="00423531" w:rsidRPr="00327BD3" w:rsidSect="00A9561D">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47" w:rsidRDefault="00DF2447" w:rsidP="00936E52">
      <w:pPr>
        <w:spacing w:after="0" w:line="240" w:lineRule="auto"/>
      </w:pPr>
      <w:r>
        <w:separator/>
      </w:r>
    </w:p>
  </w:endnote>
  <w:endnote w:type="continuationSeparator" w:id="0">
    <w:p w:rsidR="00DF2447" w:rsidRDefault="00DF2447" w:rsidP="0093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47" w:rsidRDefault="00DF2447" w:rsidP="00936E52">
      <w:pPr>
        <w:spacing w:after="0" w:line="240" w:lineRule="auto"/>
      </w:pPr>
      <w:r>
        <w:separator/>
      </w:r>
    </w:p>
  </w:footnote>
  <w:footnote w:type="continuationSeparator" w:id="0">
    <w:p w:rsidR="00DF2447" w:rsidRDefault="00DF2447" w:rsidP="00936E52">
      <w:pPr>
        <w:spacing w:after="0" w:line="240" w:lineRule="auto"/>
      </w:pPr>
      <w:r>
        <w:continuationSeparator/>
      </w:r>
    </w:p>
  </w:footnote>
  <w:footnote w:id="1">
    <w:p w:rsidR="001B5E2D" w:rsidRDefault="001B5E2D">
      <w:pPr>
        <w:pStyle w:val="FootnoteText"/>
      </w:pPr>
      <w:r>
        <w:rPr>
          <w:rStyle w:val="FootnoteReference"/>
        </w:rPr>
        <w:footnoteRef/>
      </w:r>
      <w:r>
        <w:t xml:space="preserve">IM 138 </w:t>
      </w:r>
      <w:r w:rsidRPr="00936E52">
        <w:t>http://www.udmo.com/CSBG_Proposed_Organizationa_Performance_Standards/IM_138_CSBG_Organizational_Standards_FY_2015_(2).pdf</w:t>
      </w:r>
      <w:r>
        <w:t xml:space="preserve"> </w:t>
      </w:r>
    </w:p>
  </w:footnote>
  <w:footnote w:id="2">
    <w:p w:rsidR="001B5E2D" w:rsidRDefault="001B5E2D">
      <w:pPr>
        <w:pStyle w:val="FootnoteText"/>
      </w:pPr>
      <w:r>
        <w:rPr>
          <w:rStyle w:val="FootnoteReference"/>
        </w:rPr>
        <w:footnoteRef/>
      </w:r>
      <w:r>
        <w:t xml:space="preserve"> Information Memorandum 138, p5-6</w:t>
      </w:r>
    </w:p>
  </w:footnote>
  <w:footnote w:id="3">
    <w:p w:rsidR="001B5E2D" w:rsidRDefault="001B5E2D">
      <w:pPr>
        <w:pStyle w:val="FootnoteText"/>
      </w:pPr>
      <w:r>
        <w:rPr>
          <w:rStyle w:val="FootnoteReference"/>
        </w:rPr>
        <w:footnoteRef/>
      </w:r>
      <w:r>
        <w:t xml:space="preserve"> Community Opportunities, Accountability , and Training Act and Educational Services Act of 1998; Sec. 678C(4)(A) &amp; (B)</w:t>
      </w:r>
    </w:p>
  </w:footnote>
  <w:footnote w:id="4">
    <w:p w:rsidR="00867178" w:rsidRDefault="00867178">
      <w:pPr>
        <w:pStyle w:val="FootnoteText"/>
      </w:pPr>
      <w:r>
        <w:rPr>
          <w:rStyle w:val="FootnoteReference"/>
        </w:rPr>
        <w:footnoteRef/>
      </w:r>
      <w:r>
        <w:t xml:space="preserve"> </w:t>
      </w:r>
      <w:hyperlink r:id="rId1" w:history="1">
        <w:r w:rsidRPr="008C7210">
          <w:rPr>
            <w:rStyle w:val="Hyperlink"/>
          </w:rPr>
          <w:t>http://www.acf.hhs.gov/programs/ocs/resource/no-116-corrective-action-termination-or-reduction-of-funding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70" w:rsidRDefault="004E04D8" w:rsidP="00380270">
    <w:pPr>
      <w:pStyle w:val="Header"/>
      <w:jc w:val="right"/>
    </w:pPr>
    <w:fldSimple w:instr=" DATE   \* MERGEFORMAT ">
      <w:r w:rsidR="00F22CA4">
        <w:rPr>
          <w:noProof/>
        </w:rPr>
        <w:t>12/</w:t>
      </w:r>
      <w:r w:rsidR="00F22CA4" w:rsidRPr="00F22CA4">
        <w:rPr>
          <w:i/>
          <w:noProof/>
        </w:rPr>
        <w:t>17/2015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2232"/>
    <w:multiLevelType w:val="hybridMultilevel"/>
    <w:tmpl w:val="03D68828"/>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nsid w:val="2058762C"/>
    <w:multiLevelType w:val="hybridMultilevel"/>
    <w:tmpl w:val="AD8EC0D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42241F88"/>
    <w:multiLevelType w:val="hybridMultilevel"/>
    <w:tmpl w:val="9FC4BF60"/>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49E810F6"/>
    <w:multiLevelType w:val="hybridMultilevel"/>
    <w:tmpl w:val="9FC4BF60"/>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E4A3167"/>
    <w:multiLevelType w:val="hybridMultilevel"/>
    <w:tmpl w:val="9FC4BF60"/>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711B6969"/>
    <w:multiLevelType w:val="hybridMultilevel"/>
    <w:tmpl w:val="6FA6D732"/>
    <w:lvl w:ilvl="0" w:tplc="B76429A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45"/>
    <w:rsid w:val="000E6A34"/>
    <w:rsid w:val="0010341A"/>
    <w:rsid w:val="00191D8D"/>
    <w:rsid w:val="001A4A02"/>
    <w:rsid w:val="001B1AE2"/>
    <w:rsid w:val="001B5E2D"/>
    <w:rsid w:val="001D5B26"/>
    <w:rsid w:val="00202FB4"/>
    <w:rsid w:val="002B2B74"/>
    <w:rsid w:val="002E522A"/>
    <w:rsid w:val="002E5B8B"/>
    <w:rsid w:val="0030728D"/>
    <w:rsid w:val="00327BD3"/>
    <w:rsid w:val="003613C4"/>
    <w:rsid w:val="00380270"/>
    <w:rsid w:val="00383FF5"/>
    <w:rsid w:val="00391D45"/>
    <w:rsid w:val="00423531"/>
    <w:rsid w:val="00471801"/>
    <w:rsid w:val="00471EE6"/>
    <w:rsid w:val="004C0ADB"/>
    <w:rsid w:val="004C2199"/>
    <w:rsid w:val="004D612E"/>
    <w:rsid w:val="004E04D8"/>
    <w:rsid w:val="00516348"/>
    <w:rsid w:val="0052059A"/>
    <w:rsid w:val="005A1345"/>
    <w:rsid w:val="00621148"/>
    <w:rsid w:val="006575DD"/>
    <w:rsid w:val="0069485E"/>
    <w:rsid w:val="006A21C4"/>
    <w:rsid w:val="006A2D80"/>
    <w:rsid w:val="006C3B82"/>
    <w:rsid w:val="006D5F2D"/>
    <w:rsid w:val="00703226"/>
    <w:rsid w:val="00741D2F"/>
    <w:rsid w:val="00747EE5"/>
    <w:rsid w:val="00867178"/>
    <w:rsid w:val="00877725"/>
    <w:rsid w:val="00936E52"/>
    <w:rsid w:val="0098373F"/>
    <w:rsid w:val="00983856"/>
    <w:rsid w:val="00A174FA"/>
    <w:rsid w:val="00A9561D"/>
    <w:rsid w:val="00AE4DD9"/>
    <w:rsid w:val="00B83DD7"/>
    <w:rsid w:val="00BD2AC0"/>
    <w:rsid w:val="00C816E1"/>
    <w:rsid w:val="00C874E8"/>
    <w:rsid w:val="00CE6859"/>
    <w:rsid w:val="00DD4E4A"/>
    <w:rsid w:val="00DF2447"/>
    <w:rsid w:val="00F10B4D"/>
    <w:rsid w:val="00F22CA4"/>
    <w:rsid w:val="00F3344C"/>
    <w:rsid w:val="00F77EA5"/>
    <w:rsid w:val="00F94A71"/>
    <w:rsid w:val="00FA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485E"/>
    <w:rPr>
      <w:sz w:val="16"/>
      <w:szCs w:val="16"/>
    </w:rPr>
  </w:style>
  <w:style w:type="paragraph" w:styleId="CommentText">
    <w:name w:val="annotation text"/>
    <w:basedOn w:val="Normal"/>
    <w:link w:val="CommentTextChar"/>
    <w:uiPriority w:val="99"/>
    <w:semiHidden/>
    <w:unhideWhenUsed/>
    <w:rsid w:val="0069485E"/>
    <w:pPr>
      <w:spacing w:line="240" w:lineRule="auto"/>
    </w:pPr>
    <w:rPr>
      <w:sz w:val="20"/>
      <w:szCs w:val="20"/>
    </w:rPr>
  </w:style>
  <w:style w:type="character" w:customStyle="1" w:styleId="CommentTextChar">
    <w:name w:val="Comment Text Char"/>
    <w:basedOn w:val="DefaultParagraphFont"/>
    <w:link w:val="CommentText"/>
    <w:uiPriority w:val="99"/>
    <w:semiHidden/>
    <w:rsid w:val="0069485E"/>
    <w:rPr>
      <w:sz w:val="20"/>
      <w:szCs w:val="20"/>
    </w:rPr>
  </w:style>
  <w:style w:type="paragraph" w:styleId="CommentSubject">
    <w:name w:val="annotation subject"/>
    <w:basedOn w:val="CommentText"/>
    <w:next w:val="CommentText"/>
    <w:link w:val="CommentSubjectChar"/>
    <w:uiPriority w:val="99"/>
    <w:semiHidden/>
    <w:unhideWhenUsed/>
    <w:rsid w:val="0069485E"/>
    <w:rPr>
      <w:b/>
      <w:bCs/>
    </w:rPr>
  </w:style>
  <w:style w:type="character" w:customStyle="1" w:styleId="CommentSubjectChar">
    <w:name w:val="Comment Subject Char"/>
    <w:basedOn w:val="CommentTextChar"/>
    <w:link w:val="CommentSubject"/>
    <w:uiPriority w:val="99"/>
    <w:semiHidden/>
    <w:rsid w:val="0069485E"/>
    <w:rPr>
      <w:b/>
      <w:bCs/>
      <w:sz w:val="20"/>
      <w:szCs w:val="20"/>
    </w:rPr>
  </w:style>
  <w:style w:type="paragraph" w:styleId="BalloonText">
    <w:name w:val="Balloon Text"/>
    <w:basedOn w:val="Normal"/>
    <w:link w:val="BalloonTextChar"/>
    <w:uiPriority w:val="99"/>
    <w:semiHidden/>
    <w:unhideWhenUsed/>
    <w:rsid w:val="00694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85E"/>
    <w:rPr>
      <w:rFonts w:ascii="Tahoma" w:hAnsi="Tahoma" w:cs="Tahoma"/>
      <w:sz w:val="16"/>
      <w:szCs w:val="16"/>
    </w:rPr>
  </w:style>
  <w:style w:type="paragraph" w:styleId="FootnoteText">
    <w:name w:val="footnote text"/>
    <w:basedOn w:val="Normal"/>
    <w:link w:val="FootnoteTextChar"/>
    <w:uiPriority w:val="99"/>
    <w:semiHidden/>
    <w:unhideWhenUsed/>
    <w:rsid w:val="00936E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E52"/>
    <w:rPr>
      <w:sz w:val="20"/>
      <w:szCs w:val="20"/>
    </w:rPr>
  </w:style>
  <w:style w:type="character" w:styleId="FootnoteReference">
    <w:name w:val="footnote reference"/>
    <w:basedOn w:val="DefaultParagraphFont"/>
    <w:uiPriority w:val="99"/>
    <w:semiHidden/>
    <w:unhideWhenUsed/>
    <w:rsid w:val="00936E52"/>
    <w:rPr>
      <w:vertAlign w:val="superscript"/>
    </w:rPr>
  </w:style>
  <w:style w:type="table" w:styleId="TableGrid">
    <w:name w:val="Table Grid"/>
    <w:basedOn w:val="TableNormal"/>
    <w:uiPriority w:val="59"/>
    <w:rsid w:val="00AE4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3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41A"/>
  </w:style>
  <w:style w:type="paragraph" w:styleId="Footer">
    <w:name w:val="footer"/>
    <w:basedOn w:val="Normal"/>
    <w:link w:val="FooterChar"/>
    <w:uiPriority w:val="99"/>
    <w:unhideWhenUsed/>
    <w:rsid w:val="00103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41A"/>
  </w:style>
  <w:style w:type="paragraph" w:styleId="Caption">
    <w:name w:val="caption"/>
    <w:basedOn w:val="Normal"/>
    <w:next w:val="Normal"/>
    <w:uiPriority w:val="35"/>
    <w:unhideWhenUsed/>
    <w:qFormat/>
    <w:rsid w:val="006575DD"/>
    <w:pPr>
      <w:spacing w:line="240" w:lineRule="auto"/>
    </w:pPr>
    <w:rPr>
      <w:b/>
      <w:bCs/>
      <w:color w:val="4F81BD" w:themeColor="accent1"/>
      <w:sz w:val="18"/>
      <w:szCs w:val="18"/>
    </w:rPr>
  </w:style>
  <w:style w:type="paragraph" w:styleId="ListParagraph">
    <w:name w:val="List Paragraph"/>
    <w:basedOn w:val="Normal"/>
    <w:uiPriority w:val="34"/>
    <w:qFormat/>
    <w:rsid w:val="00C816E1"/>
    <w:pPr>
      <w:ind w:left="720"/>
      <w:contextualSpacing/>
    </w:pPr>
  </w:style>
  <w:style w:type="character" w:styleId="Hyperlink">
    <w:name w:val="Hyperlink"/>
    <w:basedOn w:val="DefaultParagraphFont"/>
    <w:uiPriority w:val="99"/>
    <w:unhideWhenUsed/>
    <w:rsid w:val="00867178"/>
    <w:rPr>
      <w:color w:val="0000FF" w:themeColor="hyperlink"/>
      <w:u w:val="single"/>
    </w:rPr>
  </w:style>
  <w:style w:type="character" w:styleId="PlaceholderText">
    <w:name w:val="Placeholder Text"/>
    <w:basedOn w:val="DefaultParagraphFont"/>
    <w:uiPriority w:val="99"/>
    <w:semiHidden/>
    <w:rsid w:val="003802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485E"/>
    <w:rPr>
      <w:sz w:val="16"/>
      <w:szCs w:val="16"/>
    </w:rPr>
  </w:style>
  <w:style w:type="paragraph" w:styleId="CommentText">
    <w:name w:val="annotation text"/>
    <w:basedOn w:val="Normal"/>
    <w:link w:val="CommentTextChar"/>
    <w:uiPriority w:val="99"/>
    <w:semiHidden/>
    <w:unhideWhenUsed/>
    <w:rsid w:val="0069485E"/>
    <w:pPr>
      <w:spacing w:line="240" w:lineRule="auto"/>
    </w:pPr>
    <w:rPr>
      <w:sz w:val="20"/>
      <w:szCs w:val="20"/>
    </w:rPr>
  </w:style>
  <w:style w:type="character" w:customStyle="1" w:styleId="CommentTextChar">
    <w:name w:val="Comment Text Char"/>
    <w:basedOn w:val="DefaultParagraphFont"/>
    <w:link w:val="CommentText"/>
    <w:uiPriority w:val="99"/>
    <w:semiHidden/>
    <w:rsid w:val="0069485E"/>
    <w:rPr>
      <w:sz w:val="20"/>
      <w:szCs w:val="20"/>
    </w:rPr>
  </w:style>
  <w:style w:type="paragraph" w:styleId="CommentSubject">
    <w:name w:val="annotation subject"/>
    <w:basedOn w:val="CommentText"/>
    <w:next w:val="CommentText"/>
    <w:link w:val="CommentSubjectChar"/>
    <w:uiPriority w:val="99"/>
    <w:semiHidden/>
    <w:unhideWhenUsed/>
    <w:rsid w:val="0069485E"/>
    <w:rPr>
      <w:b/>
      <w:bCs/>
    </w:rPr>
  </w:style>
  <w:style w:type="character" w:customStyle="1" w:styleId="CommentSubjectChar">
    <w:name w:val="Comment Subject Char"/>
    <w:basedOn w:val="CommentTextChar"/>
    <w:link w:val="CommentSubject"/>
    <w:uiPriority w:val="99"/>
    <w:semiHidden/>
    <w:rsid w:val="0069485E"/>
    <w:rPr>
      <w:b/>
      <w:bCs/>
      <w:sz w:val="20"/>
      <w:szCs w:val="20"/>
    </w:rPr>
  </w:style>
  <w:style w:type="paragraph" w:styleId="BalloonText">
    <w:name w:val="Balloon Text"/>
    <w:basedOn w:val="Normal"/>
    <w:link w:val="BalloonTextChar"/>
    <w:uiPriority w:val="99"/>
    <w:semiHidden/>
    <w:unhideWhenUsed/>
    <w:rsid w:val="00694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85E"/>
    <w:rPr>
      <w:rFonts w:ascii="Tahoma" w:hAnsi="Tahoma" w:cs="Tahoma"/>
      <w:sz w:val="16"/>
      <w:szCs w:val="16"/>
    </w:rPr>
  </w:style>
  <w:style w:type="paragraph" w:styleId="FootnoteText">
    <w:name w:val="footnote text"/>
    <w:basedOn w:val="Normal"/>
    <w:link w:val="FootnoteTextChar"/>
    <w:uiPriority w:val="99"/>
    <w:semiHidden/>
    <w:unhideWhenUsed/>
    <w:rsid w:val="00936E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E52"/>
    <w:rPr>
      <w:sz w:val="20"/>
      <w:szCs w:val="20"/>
    </w:rPr>
  </w:style>
  <w:style w:type="character" w:styleId="FootnoteReference">
    <w:name w:val="footnote reference"/>
    <w:basedOn w:val="DefaultParagraphFont"/>
    <w:uiPriority w:val="99"/>
    <w:semiHidden/>
    <w:unhideWhenUsed/>
    <w:rsid w:val="00936E52"/>
    <w:rPr>
      <w:vertAlign w:val="superscript"/>
    </w:rPr>
  </w:style>
  <w:style w:type="table" w:styleId="TableGrid">
    <w:name w:val="Table Grid"/>
    <w:basedOn w:val="TableNormal"/>
    <w:uiPriority w:val="59"/>
    <w:rsid w:val="00AE4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3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41A"/>
  </w:style>
  <w:style w:type="paragraph" w:styleId="Footer">
    <w:name w:val="footer"/>
    <w:basedOn w:val="Normal"/>
    <w:link w:val="FooterChar"/>
    <w:uiPriority w:val="99"/>
    <w:unhideWhenUsed/>
    <w:rsid w:val="00103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41A"/>
  </w:style>
  <w:style w:type="paragraph" w:styleId="Caption">
    <w:name w:val="caption"/>
    <w:basedOn w:val="Normal"/>
    <w:next w:val="Normal"/>
    <w:uiPriority w:val="35"/>
    <w:unhideWhenUsed/>
    <w:qFormat/>
    <w:rsid w:val="006575DD"/>
    <w:pPr>
      <w:spacing w:line="240" w:lineRule="auto"/>
    </w:pPr>
    <w:rPr>
      <w:b/>
      <w:bCs/>
      <w:color w:val="4F81BD" w:themeColor="accent1"/>
      <w:sz w:val="18"/>
      <w:szCs w:val="18"/>
    </w:rPr>
  </w:style>
  <w:style w:type="paragraph" w:styleId="ListParagraph">
    <w:name w:val="List Paragraph"/>
    <w:basedOn w:val="Normal"/>
    <w:uiPriority w:val="34"/>
    <w:qFormat/>
    <w:rsid w:val="00C816E1"/>
    <w:pPr>
      <w:ind w:left="720"/>
      <w:contextualSpacing/>
    </w:pPr>
  </w:style>
  <w:style w:type="character" w:styleId="Hyperlink">
    <w:name w:val="Hyperlink"/>
    <w:basedOn w:val="DefaultParagraphFont"/>
    <w:uiPriority w:val="99"/>
    <w:unhideWhenUsed/>
    <w:rsid w:val="00867178"/>
    <w:rPr>
      <w:color w:val="0000FF" w:themeColor="hyperlink"/>
      <w:u w:val="single"/>
    </w:rPr>
  </w:style>
  <w:style w:type="character" w:styleId="PlaceholderText">
    <w:name w:val="Placeholder Text"/>
    <w:basedOn w:val="DefaultParagraphFont"/>
    <w:uiPriority w:val="99"/>
    <w:semiHidden/>
    <w:rsid w:val="003802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diagramLayout" Target="diagrams/layout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1" Type="http://schemas.openxmlformats.org/officeDocument/2006/relationships/hyperlink" Target="http://www.acf.hhs.gov/programs/ocs/resource/no-116-corrective-action-termination-or-reduction-of-funding"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FD3EB2-72D5-412B-BBDB-B84789B81512}" type="doc">
      <dgm:prSet loTypeId="urn:microsoft.com/office/officeart/2005/8/layout/cycle5" loCatId="cycle" qsTypeId="urn:microsoft.com/office/officeart/2005/8/quickstyle/simple3" qsCatId="simple" csTypeId="urn:microsoft.com/office/officeart/2005/8/colors/accent0_1" csCatId="mainScheme" phldr="1"/>
      <dgm:spPr/>
      <dgm:t>
        <a:bodyPr/>
        <a:lstStyle/>
        <a:p>
          <a:endParaRPr lang="en-US"/>
        </a:p>
      </dgm:t>
    </dgm:pt>
    <dgm:pt modelId="{9E158B03-B48F-482D-BFF9-8E3A594CD857}">
      <dgm:prSet phldrT="[Text]"/>
      <dgm:spPr>
        <a:xfrm>
          <a:off x="1906517" y="565526"/>
          <a:ext cx="1142592" cy="607308"/>
        </a:xfrm>
      </dgm:spPr>
      <dgm:t>
        <a:bodyPr/>
        <a:lstStyle/>
        <a:p>
          <a:pPr algn="ctr"/>
          <a:r>
            <a:rPr lang="en-US">
              <a:latin typeface="Calibri"/>
              <a:ea typeface="+mn-ea"/>
              <a:cs typeface="+mn-cs"/>
            </a:rPr>
            <a:t>A-1</a:t>
          </a:r>
        </a:p>
      </dgm:t>
    </dgm:pt>
    <dgm:pt modelId="{EC42DD3C-10E2-45C3-9AF8-73E2BA38D137}" type="parTrans" cxnId="{4315D982-55C2-429D-A09F-9CEC9CC37421}">
      <dgm:prSet/>
      <dgm:spPr/>
      <dgm:t>
        <a:bodyPr/>
        <a:lstStyle/>
        <a:p>
          <a:pPr algn="ctr"/>
          <a:endParaRPr lang="en-US"/>
        </a:p>
      </dgm:t>
    </dgm:pt>
    <dgm:pt modelId="{BB0927A4-5BB1-4DEA-AD66-08981185F95E}" type="sibTrans" cxnId="{4315D982-55C2-429D-A09F-9CEC9CC37421}">
      <dgm:prSet/>
      <dgm:spPr>
        <a:xfrm>
          <a:off x="1277718" y="1071829"/>
          <a:ext cx="2180251" cy="2180251"/>
        </a:xfrm>
      </dgm:spPr>
      <dgm:t>
        <a:bodyPr/>
        <a:lstStyle/>
        <a:p>
          <a:pPr algn="ctr"/>
          <a:endParaRPr lang="en-US"/>
        </a:p>
      </dgm:t>
    </dgm:pt>
    <dgm:pt modelId="{34731B05-AB9C-4547-B64E-DA01B52CBECD}">
      <dgm:prSet phldrT="[Text]"/>
      <dgm:spPr>
        <a:xfrm>
          <a:off x="3048022" y="1573110"/>
          <a:ext cx="1114562" cy="558048"/>
        </a:xfrm>
      </dgm:spPr>
      <dgm:t>
        <a:bodyPr/>
        <a:lstStyle/>
        <a:p>
          <a:pPr algn="ctr"/>
          <a:r>
            <a:rPr lang="en-US">
              <a:latin typeface="Calibri"/>
              <a:ea typeface="+mn-ea"/>
              <a:cs typeface="+mn-cs"/>
            </a:rPr>
            <a:t>A-2</a:t>
          </a:r>
        </a:p>
      </dgm:t>
    </dgm:pt>
    <dgm:pt modelId="{07001938-28EB-42A1-BD0D-8D7CC9684C67}" type="parTrans" cxnId="{93399400-8D52-4A1B-9288-0D9DD30B9814}">
      <dgm:prSet/>
      <dgm:spPr/>
      <dgm:t>
        <a:bodyPr/>
        <a:lstStyle/>
        <a:p>
          <a:pPr algn="ctr"/>
          <a:endParaRPr lang="en-US"/>
        </a:p>
      </dgm:t>
    </dgm:pt>
    <dgm:pt modelId="{FEF96DA2-AC76-4B41-ABA8-D60E850E06C2}" type="sibTrans" cxnId="{93399400-8D52-4A1B-9288-0D9DD30B9814}">
      <dgm:prSet/>
      <dgm:spPr>
        <a:xfrm>
          <a:off x="1473812" y="411345"/>
          <a:ext cx="2180251" cy="2180251"/>
        </a:xfrm>
      </dgm:spPr>
      <dgm:t>
        <a:bodyPr/>
        <a:lstStyle/>
        <a:p>
          <a:pPr algn="ctr"/>
          <a:endParaRPr lang="en-US"/>
        </a:p>
      </dgm:t>
    </dgm:pt>
    <dgm:pt modelId="{E4444719-A77C-4896-A72A-7A8CE7ADD1D4}">
      <dgm:prSet phldrT="[Text]"/>
      <dgm:spPr>
        <a:xfrm>
          <a:off x="938594" y="1556649"/>
          <a:ext cx="1133207" cy="544473"/>
        </a:xfrm>
      </dgm:spPr>
      <dgm:t>
        <a:bodyPr/>
        <a:lstStyle/>
        <a:p>
          <a:pPr algn="ctr"/>
          <a:r>
            <a:rPr lang="en-US">
              <a:latin typeface="Calibri"/>
              <a:ea typeface="+mn-ea"/>
              <a:cs typeface="+mn-cs"/>
            </a:rPr>
            <a:t>A-3</a:t>
          </a:r>
        </a:p>
      </dgm:t>
    </dgm:pt>
    <dgm:pt modelId="{181BD386-FF94-409A-BA00-60E3614B0977}" type="parTrans" cxnId="{684DF8F0-4393-4518-8DD7-4E3DBE1F198D}">
      <dgm:prSet/>
      <dgm:spPr/>
      <dgm:t>
        <a:bodyPr/>
        <a:lstStyle/>
        <a:p>
          <a:pPr algn="ctr"/>
          <a:endParaRPr lang="en-US"/>
        </a:p>
      </dgm:t>
    </dgm:pt>
    <dgm:pt modelId="{0DB4656F-133D-4165-A64A-B83952387436}" type="sibTrans" cxnId="{684DF8F0-4393-4518-8DD7-4E3DBE1F198D}">
      <dgm:prSet/>
      <dgm:spPr>
        <a:xfrm>
          <a:off x="1626688" y="1025815"/>
          <a:ext cx="2180251" cy="2180251"/>
        </a:xfrm>
      </dgm:spPr>
      <dgm:t>
        <a:bodyPr/>
        <a:lstStyle/>
        <a:p>
          <a:pPr algn="ctr"/>
          <a:endParaRPr lang="en-US"/>
        </a:p>
      </dgm:t>
    </dgm:pt>
    <dgm:pt modelId="{3DFD104C-70D1-4593-9704-07CCEC90FFA4}" type="pres">
      <dgm:prSet presAssocID="{C2FD3EB2-72D5-412B-BBDB-B84789B81512}" presName="cycle" presStyleCnt="0">
        <dgm:presLayoutVars>
          <dgm:dir/>
          <dgm:resizeHandles val="exact"/>
        </dgm:presLayoutVars>
      </dgm:prSet>
      <dgm:spPr/>
      <dgm:t>
        <a:bodyPr/>
        <a:lstStyle/>
        <a:p>
          <a:endParaRPr lang="en-US"/>
        </a:p>
      </dgm:t>
    </dgm:pt>
    <dgm:pt modelId="{8CA26B00-ED73-4D5F-86B6-93D36203994C}" type="pres">
      <dgm:prSet presAssocID="{9E158B03-B48F-482D-BFF9-8E3A594CD857}" presName="node" presStyleLbl="node1" presStyleIdx="0" presStyleCnt="3" custScaleX="90822" custScaleY="74267" custRadScaleRad="53292" custRadScaleInc="-12431">
        <dgm:presLayoutVars>
          <dgm:bulletEnabled val="1"/>
        </dgm:presLayoutVars>
      </dgm:prSet>
      <dgm:spPr>
        <a:prstGeom prst="roundRect">
          <a:avLst/>
        </a:prstGeom>
      </dgm:spPr>
      <dgm:t>
        <a:bodyPr/>
        <a:lstStyle/>
        <a:p>
          <a:endParaRPr lang="en-US"/>
        </a:p>
      </dgm:t>
    </dgm:pt>
    <dgm:pt modelId="{DCC290EB-4B84-4F89-B84C-340F9C207BEE}" type="pres">
      <dgm:prSet presAssocID="{9E158B03-B48F-482D-BFF9-8E3A594CD857}" presName="spNode" presStyleCnt="0"/>
      <dgm:spPr/>
      <dgm:t>
        <a:bodyPr/>
        <a:lstStyle/>
        <a:p>
          <a:endParaRPr lang="en-US"/>
        </a:p>
      </dgm:t>
    </dgm:pt>
    <dgm:pt modelId="{B1C60CAD-4733-4D8B-BDB0-74E2F4D43120}" type="pres">
      <dgm:prSet presAssocID="{BB0927A4-5BB1-4DEA-AD66-08981185F95E}" presName="sibTrans" presStyleLbl="sibTrans1D1" presStyleIdx="0" presStyleCnt="3"/>
      <dgm:spPr>
        <a:custGeom>
          <a:avLst/>
          <a:gdLst/>
          <a:ahLst/>
          <a:cxnLst/>
          <a:rect l="0" t="0" r="0" b="0"/>
          <a:pathLst>
            <a:path>
              <a:moveTo>
                <a:pt x="1655846" y="158281"/>
              </a:moveTo>
              <a:arcTo wR="1090125" hR="1090125" stAng="18075713" swAng="1178433"/>
            </a:path>
          </a:pathLst>
        </a:custGeom>
      </dgm:spPr>
      <dgm:t>
        <a:bodyPr/>
        <a:lstStyle/>
        <a:p>
          <a:endParaRPr lang="en-US"/>
        </a:p>
      </dgm:t>
    </dgm:pt>
    <dgm:pt modelId="{76606E4C-BD1C-42A9-B025-AE4075127381}" type="pres">
      <dgm:prSet presAssocID="{34731B05-AB9C-4547-B64E-DA01B52CBECD}" presName="node" presStyleLbl="node1" presStyleIdx="1" presStyleCnt="3" custScaleX="88594" custScaleY="68243" custRadScaleRad="105536" custRadScaleInc="-23579">
        <dgm:presLayoutVars>
          <dgm:bulletEnabled val="1"/>
        </dgm:presLayoutVars>
      </dgm:prSet>
      <dgm:spPr>
        <a:prstGeom prst="roundRect">
          <a:avLst/>
        </a:prstGeom>
      </dgm:spPr>
      <dgm:t>
        <a:bodyPr/>
        <a:lstStyle/>
        <a:p>
          <a:endParaRPr lang="en-US"/>
        </a:p>
      </dgm:t>
    </dgm:pt>
    <dgm:pt modelId="{D7B5C555-A15B-4871-A35E-5F25C3C5430C}" type="pres">
      <dgm:prSet presAssocID="{34731B05-AB9C-4547-B64E-DA01B52CBECD}" presName="spNode" presStyleCnt="0"/>
      <dgm:spPr/>
      <dgm:t>
        <a:bodyPr/>
        <a:lstStyle/>
        <a:p>
          <a:endParaRPr lang="en-US"/>
        </a:p>
      </dgm:t>
    </dgm:pt>
    <dgm:pt modelId="{E379A945-7DA2-483D-9139-90379F042E6F}" type="pres">
      <dgm:prSet presAssocID="{FEF96DA2-AC76-4B41-ABA8-D60E850E06C2}" presName="sibTrans" presStyleLbl="sibTrans1D1" presStyleIdx="1" presStyleCnt="3"/>
      <dgm:spPr>
        <a:custGeom>
          <a:avLst/>
          <a:gdLst/>
          <a:ahLst/>
          <a:cxnLst/>
          <a:rect l="0" t="0" r="0" b="0"/>
          <a:pathLst>
            <a:path>
              <a:moveTo>
                <a:pt x="1727643" y="1974402"/>
              </a:moveTo>
              <a:arcTo wR="1090125" hR="1090125" stAng="3252621" swAng="4409457"/>
            </a:path>
          </a:pathLst>
        </a:custGeom>
      </dgm:spPr>
      <dgm:t>
        <a:bodyPr/>
        <a:lstStyle/>
        <a:p>
          <a:endParaRPr lang="en-US"/>
        </a:p>
      </dgm:t>
    </dgm:pt>
    <dgm:pt modelId="{E72EE270-395B-410C-BF25-EB064F9D9608}" type="pres">
      <dgm:prSet presAssocID="{E4444719-A77C-4896-A72A-7A8CE7ADD1D4}" presName="node" presStyleLbl="node1" presStyleIdx="2" presStyleCnt="3" custScaleX="113019" custScaleY="77963" custRadScaleRad="111078" custRadScaleInc="18625">
        <dgm:presLayoutVars>
          <dgm:bulletEnabled val="1"/>
        </dgm:presLayoutVars>
      </dgm:prSet>
      <dgm:spPr>
        <a:prstGeom prst="roundRect">
          <a:avLst/>
        </a:prstGeom>
      </dgm:spPr>
      <dgm:t>
        <a:bodyPr/>
        <a:lstStyle/>
        <a:p>
          <a:endParaRPr lang="en-US"/>
        </a:p>
      </dgm:t>
    </dgm:pt>
    <dgm:pt modelId="{B8C2CFE8-BF9F-4F4E-8CC3-EAF627C74CE2}" type="pres">
      <dgm:prSet presAssocID="{E4444719-A77C-4896-A72A-7A8CE7ADD1D4}" presName="spNode" presStyleCnt="0"/>
      <dgm:spPr/>
      <dgm:t>
        <a:bodyPr/>
        <a:lstStyle/>
        <a:p>
          <a:endParaRPr lang="en-US"/>
        </a:p>
      </dgm:t>
    </dgm:pt>
    <dgm:pt modelId="{1A624598-FF06-4112-98F9-BA0552DD3E44}" type="pres">
      <dgm:prSet presAssocID="{0DB4656F-133D-4165-A64A-B83952387436}" presName="sibTrans" presStyleLbl="sibTrans1D1" presStyleIdx="2" presStyleCnt="3"/>
      <dgm:spPr>
        <a:custGeom>
          <a:avLst/>
          <a:gdLst/>
          <a:ahLst/>
          <a:cxnLst/>
          <a:rect l="0" t="0" r="0" b="0"/>
          <a:pathLst>
            <a:path>
              <a:moveTo>
                <a:pt x="215085" y="439988"/>
              </a:moveTo>
              <a:arcTo wR="1090125" hR="1090125" stAng="12996696" swAng="1052540"/>
            </a:path>
          </a:pathLst>
        </a:custGeom>
      </dgm:spPr>
      <dgm:t>
        <a:bodyPr/>
        <a:lstStyle/>
        <a:p>
          <a:endParaRPr lang="en-US"/>
        </a:p>
      </dgm:t>
    </dgm:pt>
  </dgm:ptLst>
  <dgm:cxnLst>
    <dgm:cxn modelId="{93399400-8D52-4A1B-9288-0D9DD30B9814}" srcId="{C2FD3EB2-72D5-412B-BBDB-B84789B81512}" destId="{34731B05-AB9C-4547-B64E-DA01B52CBECD}" srcOrd="1" destOrd="0" parTransId="{07001938-28EB-42A1-BD0D-8D7CC9684C67}" sibTransId="{FEF96DA2-AC76-4B41-ABA8-D60E850E06C2}"/>
    <dgm:cxn modelId="{781893CD-22EC-4752-BB94-EE072E1A4166}" type="presOf" srcId="{C2FD3EB2-72D5-412B-BBDB-B84789B81512}" destId="{3DFD104C-70D1-4593-9704-07CCEC90FFA4}" srcOrd="0" destOrd="0" presId="urn:microsoft.com/office/officeart/2005/8/layout/cycle5"/>
    <dgm:cxn modelId="{320A0FC3-64CB-4AAA-8E94-B1FB721CD92D}" type="presOf" srcId="{E4444719-A77C-4896-A72A-7A8CE7ADD1D4}" destId="{E72EE270-395B-410C-BF25-EB064F9D9608}" srcOrd="0" destOrd="0" presId="urn:microsoft.com/office/officeart/2005/8/layout/cycle5"/>
    <dgm:cxn modelId="{4315D982-55C2-429D-A09F-9CEC9CC37421}" srcId="{C2FD3EB2-72D5-412B-BBDB-B84789B81512}" destId="{9E158B03-B48F-482D-BFF9-8E3A594CD857}" srcOrd="0" destOrd="0" parTransId="{EC42DD3C-10E2-45C3-9AF8-73E2BA38D137}" sibTransId="{BB0927A4-5BB1-4DEA-AD66-08981185F95E}"/>
    <dgm:cxn modelId="{62D177EC-0CEC-4617-A9FE-FC312BD0E45F}" type="presOf" srcId="{9E158B03-B48F-482D-BFF9-8E3A594CD857}" destId="{8CA26B00-ED73-4D5F-86B6-93D36203994C}" srcOrd="0" destOrd="0" presId="urn:microsoft.com/office/officeart/2005/8/layout/cycle5"/>
    <dgm:cxn modelId="{684DF8F0-4393-4518-8DD7-4E3DBE1F198D}" srcId="{C2FD3EB2-72D5-412B-BBDB-B84789B81512}" destId="{E4444719-A77C-4896-A72A-7A8CE7ADD1D4}" srcOrd="2" destOrd="0" parTransId="{181BD386-FF94-409A-BA00-60E3614B0977}" sibTransId="{0DB4656F-133D-4165-A64A-B83952387436}"/>
    <dgm:cxn modelId="{41A3B719-C97C-455A-8B9E-54ADE32C9DA0}" type="presOf" srcId="{BB0927A4-5BB1-4DEA-AD66-08981185F95E}" destId="{B1C60CAD-4733-4D8B-BDB0-74E2F4D43120}" srcOrd="0" destOrd="0" presId="urn:microsoft.com/office/officeart/2005/8/layout/cycle5"/>
    <dgm:cxn modelId="{967B92BA-C2A4-4265-9740-2724CFE607F7}" type="presOf" srcId="{0DB4656F-133D-4165-A64A-B83952387436}" destId="{1A624598-FF06-4112-98F9-BA0552DD3E44}" srcOrd="0" destOrd="0" presId="urn:microsoft.com/office/officeart/2005/8/layout/cycle5"/>
    <dgm:cxn modelId="{16B99A36-C70D-4C30-9A71-236E1C488B02}" type="presOf" srcId="{34731B05-AB9C-4547-B64E-DA01B52CBECD}" destId="{76606E4C-BD1C-42A9-B025-AE4075127381}" srcOrd="0" destOrd="0" presId="urn:microsoft.com/office/officeart/2005/8/layout/cycle5"/>
    <dgm:cxn modelId="{FA2183DF-DF40-44FA-BB61-FBE37CCED3D1}" type="presOf" srcId="{FEF96DA2-AC76-4B41-ABA8-D60E850E06C2}" destId="{E379A945-7DA2-483D-9139-90379F042E6F}" srcOrd="0" destOrd="0" presId="urn:microsoft.com/office/officeart/2005/8/layout/cycle5"/>
    <dgm:cxn modelId="{B7612C04-C7A6-4B0D-833D-132BE24ED63A}" type="presParOf" srcId="{3DFD104C-70D1-4593-9704-07CCEC90FFA4}" destId="{8CA26B00-ED73-4D5F-86B6-93D36203994C}" srcOrd="0" destOrd="0" presId="urn:microsoft.com/office/officeart/2005/8/layout/cycle5"/>
    <dgm:cxn modelId="{C3773452-5922-434E-BA23-9F2ACBC34EFB}" type="presParOf" srcId="{3DFD104C-70D1-4593-9704-07CCEC90FFA4}" destId="{DCC290EB-4B84-4F89-B84C-340F9C207BEE}" srcOrd="1" destOrd="0" presId="urn:microsoft.com/office/officeart/2005/8/layout/cycle5"/>
    <dgm:cxn modelId="{5F4ECB05-5588-478B-9D65-EE2D35B4077D}" type="presParOf" srcId="{3DFD104C-70D1-4593-9704-07CCEC90FFA4}" destId="{B1C60CAD-4733-4D8B-BDB0-74E2F4D43120}" srcOrd="2" destOrd="0" presId="urn:microsoft.com/office/officeart/2005/8/layout/cycle5"/>
    <dgm:cxn modelId="{77BEA0F2-5D36-4DE9-8DC3-5DDAFB341982}" type="presParOf" srcId="{3DFD104C-70D1-4593-9704-07CCEC90FFA4}" destId="{76606E4C-BD1C-42A9-B025-AE4075127381}" srcOrd="3" destOrd="0" presId="urn:microsoft.com/office/officeart/2005/8/layout/cycle5"/>
    <dgm:cxn modelId="{3E8806C1-95BE-4087-A052-472AE028DBB9}" type="presParOf" srcId="{3DFD104C-70D1-4593-9704-07CCEC90FFA4}" destId="{D7B5C555-A15B-4871-A35E-5F25C3C5430C}" srcOrd="4" destOrd="0" presId="urn:microsoft.com/office/officeart/2005/8/layout/cycle5"/>
    <dgm:cxn modelId="{495BEE95-974F-4988-B653-F57C9D34554E}" type="presParOf" srcId="{3DFD104C-70D1-4593-9704-07CCEC90FFA4}" destId="{E379A945-7DA2-483D-9139-90379F042E6F}" srcOrd="5" destOrd="0" presId="urn:microsoft.com/office/officeart/2005/8/layout/cycle5"/>
    <dgm:cxn modelId="{2B2FFEFE-6235-4D58-9F64-4C8EBBEAAD4E}" type="presParOf" srcId="{3DFD104C-70D1-4593-9704-07CCEC90FFA4}" destId="{E72EE270-395B-410C-BF25-EB064F9D9608}" srcOrd="6" destOrd="0" presId="urn:microsoft.com/office/officeart/2005/8/layout/cycle5"/>
    <dgm:cxn modelId="{DDC91F3A-E599-4AC9-A063-09472470C75D}" type="presParOf" srcId="{3DFD104C-70D1-4593-9704-07CCEC90FFA4}" destId="{B8C2CFE8-BF9F-4F4E-8CC3-EAF627C74CE2}" srcOrd="7" destOrd="0" presId="urn:microsoft.com/office/officeart/2005/8/layout/cycle5"/>
    <dgm:cxn modelId="{F822DE27-EF3A-49A7-894E-78BC9FF80F33}" type="presParOf" srcId="{3DFD104C-70D1-4593-9704-07CCEC90FFA4}" destId="{1A624598-FF06-4112-98F9-BA0552DD3E44}" srcOrd="8" destOrd="0" presId="urn:microsoft.com/office/officeart/2005/8/layout/cycle5"/>
  </dgm:cxnLst>
  <dgm:bg/>
  <dgm:whole>
    <a:ln w="28575">
      <a:solidFill>
        <a:schemeClr val="tx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A26B00-ED73-4D5F-86B6-93D36203994C}">
      <dsp:nvSpPr>
        <dsp:cNvPr id="0" name=""/>
        <dsp:cNvSpPr/>
      </dsp:nvSpPr>
      <dsp:spPr>
        <a:xfrm>
          <a:off x="1844816" y="587518"/>
          <a:ext cx="1186657" cy="63073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latin typeface="Calibri"/>
              <a:ea typeface="+mn-ea"/>
              <a:cs typeface="+mn-cs"/>
            </a:rPr>
            <a:t>A-1</a:t>
          </a:r>
        </a:p>
      </dsp:txBody>
      <dsp:txXfrm>
        <a:off x="1875606" y="618308"/>
        <a:ext cx="1125077" cy="569150"/>
      </dsp:txXfrm>
    </dsp:sp>
    <dsp:sp modelId="{B1C60CAD-4733-4D8B-BDB0-74E2F4D43120}">
      <dsp:nvSpPr>
        <dsp:cNvPr id="0" name=""/>
        <dsp:cNvSpPr/>
      </dsp:nvSpPr>
      <dsp:spPr>
        <a:xfrm>
          <a:off x="1191065" y="1113405"/>
          <a:ext cx="2265690" cy="2265690"/>
        </a:xfrm>
        <a:custGeom>
          <a:avLst/>
          <a:gdLst/>
          <a:ahLst/>
          <a:cxnLst/>
          <a:rect l="0" t="0" r="0" b="0"/>
          <a:pathLst>
            <a:path>
              <a:moveTo>
                <a:pt x="1655846" y="158281"/>
              </a:moveTo>
              <a:arcTo wR="1090125" hR="1090125" stAng="18075713" swAng="1178433"/>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6606E4C-BD1C-42A9-B025-AE4075127381}">
      <dsp:nvSpPr>
        <dsp:cNvPr id="0" name=""/>
        <dsp:cNvSpPr/>
      </dsp:nvSpPr>
      <dsp:spPr>
        <a:xfrm>
          <a:off x="3031046" y="1634572"/>
          <a:ext cx="1157547" cy="57957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latin typeface="Calibri"/>
              <a:ea typeface="+mn-ea"/>
              <a:cs typeface="+mn-cs"/>
            </a:rPr>
            <a:t>A-2</a:t>
          </a:r>
        </a:p>
      </dsp:txBody>
      <dsp:txXfrm>
        <a:off x="3059338" y="1662864"/>
        <a:ext cx="1100963" cy="522986"/>
      </dsp:txXfrm>
    </dsp:sp>
    <dsp:sp modelId="{E379A945-7DA2-483D-9139-90379F042E6F}">
      <dsp:nvSpPr>
        <dsp:cNvPr id="0" name=""/>
        <dsp:cNvSpPr/>
      </dsp:nvSpPr>
      <dsp:spPr>
        <a:xfrm>
          <a:off x="1326458" y="536440"/>
          <a:ext cx="2265690" cy="2265690"/>
        </a:xfrm>
        <a:custGeom>
          <a:avLst/>
          <a:gdLst/>
          <a:ahLst/>
          <a:cxnLst/>
          <a:rect l="0" t="0" r="0" b="0"/>
          <a:pathLst>
            <a:path>
              <a:moveTo>
                <a:pt x="1727643" y="1974402"/>
              </a:moveTo>
              <a:arcTo wR="1090125" hR="1090125" stAng="3252621" swAng="4409457"/>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2EE270-395B-410C-BF25-EB064F9D9608}">
      <dsp:nvSpPr>
        <dsp:cNvPr id="0" name=""/>
        <dsp:cNvSpPr/>
      </dsp:nvSpPr>
      <dsp:spPr>
        <a:xfrm>
          <a:off x="589998" y="1655828"/>
          <a:ext cx="1476678" cy="66211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latin typeface="Calibri"/>
              <a:ea typeface="+mn-ea"/>
              <a:cs typeface="+mn-cs"/>
            </a:rPr>
            <a:t>A-3</a:t>
          </a:r>
        </a:p>
      </dsp:txBody>
      <dsp:txXfrm>
        <a:off x="622320" y="1688150"/>
        <a:ext cx="1412034" cy="597475"/>
      </dsp:txXfrm>
    </dsp:sp>
    <dsp:sp modelId="{1A624598-FF06-4112-98F9-BA0552DD3E44}">
      <dsp:nvSpPr>
        <dsp:cNvPr id="0" name=""/>
        <dsp:cNvSpPr/>
      </dsp:nvSpPr>
      <dsp:spPr>
        <a:xfrm>
          <a:off x="1519158" y="1083029"/>
          <a:ext cx="2265690" cy="2265690"/>
        </a:xfrm>
        <a:custGeom>
          <a:avLst/>
          <a:gdLst/>
          <a:ahLst/>
          <a:cxnLst/>
          <a:rect l="0" t="0" r="0" b="0"/>
          <a:pathLst>
            <a:path>
              <a:moveTo>
                <a:pt x="215085" y="439988"/>
              </a:moveTo>
              <a:arcTo wR="1090125" hR="1090125" stAng="12996696" swAng="105254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2015-08-13T00:00:00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Year xmlns="63979cc8-f6b2-4ee6-8bed-630b6048d169">2015</Year>
    <d599451e10b14aceb47619c4acf6a5e3 xmlns="59db5950-9a61-4c09-b3e2-fe6d472fba04">
      <Terms xmlns="http://schemas.microsoft.com/office/infopath/2007/PartnerControls"/>
    </d599451e10b14aceb47619c4acf6a5e3>
    <TaxCatchAll xmlns="59db5950-9a61-4c09-b3e2-fe6d472fba04"/>
    <BusinessUnit xmlns="63979cc8-f6b2-4ee6-8bed-630b6048d169" xsi:nil="true"/>
    <PublishingExpirationDate xmlns="http://schemas.microsoft.com/sharepoint/v3" xsi:nil="true"/>
    <RoutingRuleDescription xmlns="http://schemas.microsoft.com/sharepoint/v3">CSBG Contractor Organizational Standards Policy</RoutingRuleDescription>
    <PublishingStartDate xmlns="http://schemas.microsoft.com/sharepoint/v3" xsi:nil="true"/>
    <Publish xmlns="63979cc8-f6b2-4ee6-8bed-630b6048d169" xsi:nil="true"/>
    <Topic xmlns="63979cc8-f6b2-4ee6-8bed-630b6048d169" xsi:nil="true"/>
    <Program xmlns="63979cc8-f6b2-4ee6-8bed-630b6048d169">Community Services and Facilities</Program>
    <Content_x0020_Type xmlns="63979cc8-f6b2-4ee6-8bed-630b6048d169">Policy</Cont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7F82A00B46344287D29A2B5774955F" ma:contentTypeVersion="14" ma:contentTypeDescription="Create a new document." ma:contentTypeScope="" ma:versionID="973bd6561572a3005a6b7ab97f1f6e80">
  <xsd:schema xmlns:xsd="http://www.w3.org/2001/XMLSchema" xmlns:xs="http://www.w3.org/2001/XMLSchema" xmlns:p="http://schemas.microsoft.com/office/2006/metadata/properties" xmlns:ns1="http://schemas.microsoft.com/sharepoint/v3" xmlns:ns2="63979cc8-f6b2-4ee6-8bed-630b6048d169" xmlns:ns4="59db5950-9a61-4c09-b3e2-fe6d472fba04" targetNamespace="http://schemas.microsoft.com/office/2006/metadata/properties" ma:root="true" ma:fieldsID="0c769d9437d03691a8a8f58a18ba4cc8" ns1:_="" ns2:_="" ns4:_="">
    <xsd:import namespace="http://schemas.microsoft.com/sharepoint/v3"/>
    <xsd:import namespace="63979cc8-f6b2-4ee6-8bed-630b6048d169"/>
    <xsd:import namespace="59db5950-9a61-4c09-b3e2-fe6d472fba04"/>
    <xsd:element name="properties">
      <xsd:complexType>
        <xsd:sequence>
          <xsd:element name="documentManagement">
            <xsd:complexType>
              <xsd:all>
                <xsd:element ref="ns1:PublishingStartDate" minOccurs="0"/>
                <xsd:element ref="ns1:PublishingExpirationDate" minOccurs="0"/>
                <xsd:element ref="ns2:Program"/>
                <xsd:element ref="ns2:Content_x0020_Type"/>
                <xsd:element ref="ns1:RoutingRuleDescription"/>
                <xsd:element ref="ns4:d599451e10b14aceb47619c4acf6a5e3" minOccurs="0"/>
                <xsd:element ref="ns4:TaxCatchAll" minOccurs="0"/>
                <xsd:element ref="ns2:BusinessUnit" minOccurs="0"/>
                <xsd:element ref="ns2:Year" minOccurs="0"/>
                <xsd:element ref="ns2:Publish"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79cc8-f6b2-4ee6-8bed-630b6048d169" elementFormDefault="qualified">
    <xsd:import namespace="http://schemas.microsoft.com/office/2006/documentManagement/types"/>
    <xsd:import namespace="http://schemas.microsoft.com/office/infopath/2007/PartnerControls"/>
    <xsd:element name="Program" ma:index="10" ma:displayName="Theme" ma:format="Dropdown" ma:internalName="Program">
      <xsd:simpleType>
        <xsd:restriction base="dms:Choice">
          <xsd:enumeration value="About Commerce"/>
          <xsd:enumeration value="Business and Economic Development"/>
          <xsd:enumeration value="Community Services and Facilities"/>
          <xsd:enumeration value="Crime Victims and Public Safety"/>
          <xsd:enumeration value="Energy and Technology"/>
          <xsd:enumeration value="Foreclosure Fairness Program"/>
          <xsd:enumeration value="Growth Management"/>
          <xsd:enumeration value="Homeless Programs"/>
          <xsd:enumeration value="Housing and Homeless"/>
          <xsd:enumeration value="Infrastructure and Community Development"/>
          <xsd:enumeration value="Open Grants and Loan Applications"/>
          <xsd:enumeration value="Research Services"/>
          <xsd:enumeration value="Services and Assistance"/>
          <xsd:enumeration value="Reports and Publications"/>
        </xsd:restriction>
      </xsd:simpleType>
    </xsd:element>
    <xsd:element name="Content_x0020_Type" ma:index="11" ma:displayName="Content Type" ma:format="Dropdown" ma:internalName="Content_x0020_Type">
      <xsd:simpleType>
        <xsd:restriction base="dms:Choice">
          <xsd:enumeration value="Grant Application"/>
          <xsd:enumeration value="Loan Application"/>
          <xsd:enumeration value="Report"/>
          <xsd:enumeration value="Form"/>
          <xsd:enumeration value="Training Material"/>
          <xsd:enumeration value="Policy"/>
          <xsd:enumeration value="Presentation"/>
          <xsd:enumeration value="Award Lists"/>
          <xsd:enumeration value="Contract"/>
          <xsd:enumeration value="Project Information"/>
          <xsd:enumeration value="Data"/>
          <xsd:enumeration value="Commerce Solicitation"/>
          <xsd:enumeration value="Loan Application"/>
          <xsd:enumeration value="Public Input Process"/>
          <xsd:enumeration value="Fact Sheet"/>
          <xsd:enumeration value="Financial"/>
        </xsd:restriction>
      </xsd:simpleType>
    </xsd:element>
    <xsd:element name="BusinessUnit" ma:index="17" nillable="true" ma:displayName="Business Unit" ma:internalName="BusinessUnit">
      <xsd:simpleType>
        <xsd:restriction base="dms:Text">
          <xsd:maxLength value="55"/>
        </xsd:restriction>
      </xsd:simpleType>
    </xsd:element>
    <xsd:element name="Year" ma:index="18"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ublish" ma:index="19" nillable="true" ma:displayName="Publish" ma:format="RadioButtons" ma:internalName="Publish">
      <xsd:simpleType>
        <xsd:restriction base="dms:Choice">
          <xsd:enumeration value="Yes"/>
          <xsd:enumeration value="No"/>
        </xsd:restriction>
      </xsd:simpleType>
    </xsd:element>
    <xsd:element name="Topic" ma:index="20" nillable="true" ma:displayName="Topic" ma:format="Dropdown" ma:internalName="Topic">
      <xsd:simpleType>
        <xsd:restriction base="dms:Choice">
          <xsd:enumeration value="Affordable Housing"/>
          <xsd:enumeration value="Agriculture"/>
          <xsd:enumeration value="Annexation"/>
          <xsd:enumeration value="Annual Report"/>
          <xsd:enumeration value="Best Available Science"/>
          <xsd:enumeration value="Bicycling, Walking"/>
          <xsd:enumeration value="Buildable Lands"/>
          <xsd:enumeration value="Capital Facilities"/>
          <xsd:enumeration value="Capital Facilities Template"/>
          <xsd:enumeration value="Citizen Participation"/>
          <xsd:enumeration value="Clearing, Grading"/>
          <xsd:enumeration value="Coastal Erosion"/>
          <xsd:enumeration value="Comprehensive Plans"/>
          <xsd:enumeration value="Concurrency"/>
          <xsd:enumeration value="Critical Areas"/>
          <xsd:enumeration value="Development Regulations"/>
          <xsd:enumeration value="Economic Development"/>
          <xsd:enumeration value="ESA Listings"/>
          <xsd:enumeration value="ESHB 1724"/>
          <xsd:enumeration value="GMA"/>
          <xsd:enumeration value="GMA"/>
          <xsd:enumeration value="GMA RCWs"/>
          <xsd:enumeration value="Governor's Smart Communities Awards Program Brochure"/>
          <xsd:enumeration value="Growth Management 15-Year - An Overview, Brochure"/>
          <xsd:enumeration value="Growth Management 15-Year Report"/>
          <xsd:enumeration value="Growth Management Hearings Boards"/>
          <xsd:enumeration value="Growth Management Services"/>
          <xsd:enumeration value="Historic Preservation"/>
          <xsd:enumeration value="Housing"/>
          <xsd:enumeration value="Impact Fees"/>
          <xsd:enumeration value="Interagency Contacts"/>
          <xsd:enumeration value="Land Use Element"/>
          <xsd:enumeration value="Medical Marijuana"/>
          <xsd:enumeration value="Military Installation Compatibility"/>
          <xsd:enumeration value="Military Installations"/>
          <xsd:enumeration value="Minimum Guidelines"/>
          <xsd:enumeration value="Model Codes"/>
          <xsd:enumeration value="Natural Hazard Reduction"/>
          <xsd:enumeration value="Parks, Recreation, and Open Space"/>
          <xsd:enumeration value="Permits"/>
          <xsd:enumeration value="Planner's Update Bulletin"/>
          <xsd:enumeration value="Planner's Update Newsletter"/>
          <xsd:enumeration value="Population Forecasting"/>
          <xsd:enumeration value="Procedural Criteria"/>
          <xsd:enumeration value="Project Consistency"/>
          <xsd:enumeration value="Property Rights"/>
          <xsd:enumeration value="Quality of Life"/>
          <xsd:enumeration value="RCWs"/>
          <xsd:enumeration value="Resource Lands"/>
          <xsd:enumeration value="Rural"/>
          <xsd:enumeration value="Rural Lands"/>
          <xsd:enumeration value="SEPA/GMA"/>
          <xsd:enumeration value="Shoreline Management"/>
          <xsd:enumeration value="Short Course"/>
          <xsd:enumeration value="Success Stories"/>
          <xsd:enumeration value="Transportation"/>
          <xsd:enumeration value="Update Process"/>
          <xsd:enumeration value="Update, GMA"/>
          <xsd:enumeration value="Urban"/>
          <xsd:enumeration value="Urban Growth Areas"/>
          <xsd:enumeration value="WAC"/>
          <xsd:enumeration value="Energy"/>
          <xsd:enumeration value="Energy strategy"/>
          <xsd:enumeration value="Energy policy"/>
          <xsd:enumeration value="Electric Utilities"/>
          <xsd:enumeration value="Building Codes"/>
          <xsd:enumeration value="Appliances"/>
          <xsd:enumeration value="SEP Grants and Loans"/>
          <xsd:enumeration value="Bioenergy"/>
          <xsd:enumeration value="Petroleum and Natural Gas"/>
          <xsd:enumeration value="Renewable Resources"/>
          <xsd:enumeration value="Transportation"/>
          <xsd:enumeration value="Energy Emergencies"/>
          <xsd:enumeration value="Energy Data"/>
          <xsd:enumeration value="60 day notice"/>
          <xsd:enumeration value="Appellate Decisions"/>
          <xsd:enumeration value="Biodiversity"/>
          <xsd:enumeration value="Checklist"/>
          <xsd:enumeration value="Citizen Participation"/>
          <xsd:enumeration value="Climate Change"/>
          <xsd:enumeration value="Energy"/>
          <xsd:enumeration value="Energy Aware"/>
          <xsd:enumeration value="Evergreen Communities"/>
          <xsd:enumeration value="GMA Effectiveness"/>
          <xsd:enumeration value="GMA Publications"/>
          <xsd:enumeration value="GMA RCW Update"/>
          <xsd:enumeration value="GMA Update Map"/>
          <xsd:enumeration value="Land Use Study Commission"/>
          <xsd:enumeration value="Mineral Lands"/>
          <xsd:enumeration value="Multi-Unit Tax Exemption"/>
          <xsd:enumeration value="Multi-Unit Tax Form"/>
          <xsd:enumeration value="NSP"/>
          <xsd:enumeration value="Planner Forums"/>
          <xsd:enumeration value="Property Rights"/>
          <xsd:enumeration value="Guidebook"/>
          <xsd:enumeration value="Parks and Open Space"/>
          <xsd:enumeration value="Periodic Update"/>
          <xsd:enumeration value="GMA Update (update process)"/>
          <xsd:enumeration value="Permitting"/>
          <xsd:enumeration value="Planners Update Newsletter"/>
          <xsd:enumeration value="Regulatory Reform"/>
          <xsd:enumeration value="School Planning"/>
          <xsd:enumeration value="Rural Lands"/>
          <xsd:enumeration value="SEPA"/>
          <xsd:enumeration value="SEPA/GMA"/>
          <xsd:enumeration value="Smart Growth"/>
          <xsd:enumeration value="TDR"/>
          <xsd:enumeration value="UGA"/>
          <xsd:enumeration value="Update"/>
          <xsd:enumeration value="Update Schedule Map"/>
          <xsd:enumeration value="Urban Growth Areas"/>
        </xsd:restriction>
      </xsd:simpleType>
    </xsd:element>
  </xsd:schema>
  <xsd:schema xmlns:xsd="http://www.w3.org/2001/XMLSchema" xmlns:xs="http://www.w3.org/2001/XMLSchema" xmlns:dms="http://schemas.microsoft.com/office/2006/documentManagement/types" xmlns:pc="http://schemas.microsoft.com/office/infopath/2007/PartnerControls" targetNamespace="59db5950-9a61-4c09-b3e2-fe6d472fba04" elementFormDefault="qualified">
    <xsd:import namespace="http://schemas.microsoft.com/office/2006/documentManagement/types"/>
    <xsd:import namespace="http://schemas.microsoft.com/office/infopath/2007/PartnerControls"/>
    <xsd:element name="d599451e10b14aceb47619c4acf6a5e3" ma:index="15" nillable="true" ma:taxonomy="true" ma:internalName="d599451e10b14aceb47619c4acf6a5e3" ma:taxonomyFieldName="Tags" ma:displayName="Tags" ma:default="" ma:fieldId="{d599451e-10b1-4ace-b476-19c4acf6a5e3}" ma:taxonomyMulti="true" ma:sspId="bf6a826f-2cab-45dc-9ffe-fa5cab908faa" ma:termSetId="1ce3ecf8-e5ae-413d-890c-de5413657a2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e2a0ba3-27c4-4c52-bac5-ed8a80cb3154}" ma:internalName="TaxCatchAll" ma:showField="CatchAllData" ma:web="36660fb1-bd30-4810-8537-b68c6e840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E9DA6C-1DAC-4583-B603-479219176E91}">
  <ds:schemaRefs>
    <ds:schemaRef ds:uri="http://schemas.microsoft.com/office/2006/metadata/properties"/>
    <ds:schemaRef ds:uri="http://schemas.microsoft.com/office/infopath/2007/PartnerControls"/>
    <ds:schemaRef ds:uri="63979cc8-f6b2-4ee6-8bed-630b6048d169"/>
    <ds:schemaRef ds:uri="59db5950-9a61-4c09-b3e2-fe6d472fba04"/>
    <ds:schemaRef ds:uri="http://schemas.microsoft.com/sharepoint/v3"/>
  </ds:schemaRefs>
</ds:datastoreItem>
</file>

<file path=customXml/itemProps3.xml><?xml version="1.0" encoding="utf-8"?>
<ds:datastoreItem xmlns:ds="http://schemas.openxmlformats.org/officeDocument/2006/customXml" ds:itemID="{8C40B32B-95D1-4A6C-B277-9310D8199002}">
  <ds:schemaRefs>
    <ds:schemaRef ds:uri="http://schemas.microsoft.com/sharepoint/v3/contenttype/forms"/>
  </ds:schemaRefs>
</ds:datastoreItem>
</file>

<file path=customXml/itemProps4.xml><?xml version="1.0" encoding="utf-8"?>
<ds:datastoreItem xmlns:ds="http://schemas.openxmlformats.org/officeDocument/2006/customXml" ds:itemID="{987DDAA3-AC3D-40B7-837A-6695874CD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79cc8-f6b2-4ee6-8bed-630b6048d169"/>
    <ds:schemaRef ds:uri="59db5950-9a61-4c09-b3e2-fe6d472fb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8981DE-1722-4CE2-A4EB-E9251970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4081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Pomush, Britt (COM)</dc:creator>
  <cp:lastModifiedBy>Ewig, Blaine (COM)</cp:lastModifiedBy>
  <cp:revision>2</cp:revision>
  <cp:lastPrinted>2015-08-07T16:49:00Z</cp:lastPrinted>
  <dcterms:created xsi:type="dcterms:W3CDTF">2015-12-17T22:53:00Z</dcterms:created>
  <dcterms:modified xsi:type="dcterms:W3CDTF">2015-12-17T22:53:00Z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0x010100B37F82A00B46344287D29A2B5774955F</vt:lpwstr>
  </property>
  <property fmtid="{D5CDD505-2E9C-101B-9397-08002B2CF9AE}" pid="3" name="Tags">
    <vt:lpwstr/>
  </property>
  <property fmtid="{D5CDD505-2E9C-101B-9397-08002B2CF9AE}" pid="4" name="TemplateUrl">
    <vt:lpwstr/>
  </property>
  <property fmtid="{D5CDD505-2E9C-101B-9397-08002B2CF9AE}" pid="5" name="Order">
    <vt:r8>536800</vt:r8>
  </property>
  <property fmtid="{D5CDD505-2E9C-101B-9397-08002B2CF9AE}" pid="6" name="xd_Signature">
    <vt:bool>false</vt:bool>
  </property>
  <property fmtid="{D5CDD505-2E9C-101B-9397-08002B2CF9AE}" pid="7" name="xd_ProgID">
    <vt:lpwstr/>
  </property>
</Properties>
</file>